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A70EC83"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806850">
        <w:rPr>
          <w:rFonts w:ascii="Arial" w:hAnsi="Arial" w:cs="Arial"/>
          <w:b/>
          <w:bCs/>
          <w:sz w:val="28"/>
          <w:lang w:eastAsia="zh-CN"/>
        </w:rPr>
        <w:t>0</w:t>
      </w:r>
      <w:r w:rsidR="007778DA">
        <w:rPr>
          <w:rFonts w:ascii="Arial" w:hAnsi="Arial" w:cs="Arial"/>
          <w:b/>
          <w:bCs/>
          <w:sz w:val="28"/>
          <w:lang w:eastAsia="zh-CN"/>
        </w:rPr>
        <w:t>0</w:t>
      </w:r>
      <w:r w:rsidR="0089417C">
        <w:rPr>
          <w:rFonts w:ascii="Arial" w:hAnsi="Arial" w:cs="Arial"/>
          <w:b/>
          <w:bCs/>
          <w:sz w:val="28"/>
          <w:lang w:eastAsia="zh-CN"/>
        </w:rPr>
        <w:t>877</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1023B3D"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6E2E89">
        <w:rPr>
          <w:b/>
          <w:kern w:val="2"/>
          <w:sz w:val="24"/>
          <w:lang w:eastAsia="zh-CN"/>
        </w:rPr>
        <w:t>8</w:t>
      </w:r>
      <w:r w:rsidR="00DB5933" w:rsidRPr="006E2E89">
        <w:rPr>
          <w:b/>
          <w:kern w:val="2"/>
          <w:sz w:val="24"/>
          <w:lang w:eastAsia="zh-CN"/>
        </w:rPr>
        <w:t>.</w:t>
      </w:r>
      <w:r w:rsidR="00760196" w:rsidRPr="006E2E89">
        <w:rPr>
          <w:b/>
          <w:kern w:val="2"/>
          <w:sz w:val="24"/>
          <w:lang w:eastAsia="zh-CN"/>
        </w:rPr>
        <w:t>15.</w:t>
      </w:r>
      <w:r w:rsidR="0089417C" w:rsidRPr="006E2E89">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32DAEF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89417C">
        <w:rPr>
          <w:b/>
          <w:kern w:val="2"/>
          <w:sz w:val="24"/>
          <w:lang w:eastAsia="zh-CN"/>
        </w:rPr>
        <w:t>HARQ issues</w:t>
      </w:r>
      <w:r w:rsidR="0022105B">
        <w:rPr>
          <w:b/>
          <w:kern w:val="2"/>
          <w:sz w:val="24"/>
          <w:lang w:eastAsia="zh-CN"/>
        </w:rPr>
        <w:t xml:space="preserve">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224F3B51" w:rsidR="003E649E" w:rsidRDefault="003E649E" w:rsidP="00D176D9">
      <w:pPr>
        <w:rPr>
          <w:lang w:eastAsia="zh-CN"/>
        </w:rPr>
      </w:pPr>
    </w:p>
    <w:p w14:paraId="72EC186B" w14:textId="542CAEEB" w:rsidR="00E27822" w:rsidRDefault="00E27822" w:rsidP="00E27822">
      <w:pPr>
        <w:rPr>
          <w:lang w:eastAsia="zh-CN"/>
        </w:rPr>
      </w:pPr>
      <w:r>
        <w:rPr>
          <w:lang w:eastAsia="zh-CN"/>
        </w:rPr>
        <w:t xml:space="preserve">In RANP#86, a study item on support of NB-IoT and </w:t>
      </w:r>
      <w:proofErr w:type="spellStart"/>
      <w:r>
        <w:rPr>
          <w:lang w:eastAsia="zh-CN"/>
        </w:rPr>
        <w:t>eMTC</w:t>
      </w:r>
      <w:proofErr w:type="spellEnd"/>
      <w:r>
        <w:rPr>
          <w:lang w:eastAsia="zh-CN"/>
        </w:rPr>
        <w:t xml:space="preserve"> over NTN was approved [</w:t>
      </w:r>
      <w:r>
        <w:rPr>
          <w:lang w:eastAsia="zh-CN"/>
        </w:rPr>
        <w:fldChar w:fldCharType="begin"/>
      </w:r>
      <w:r>
        <w:rPr>
          <w:lang w:eastAsia="zh-CN"/>
        </w:rPr>
        <w:instrText xml:space="preserve"> REF _Ref54129494 \w \h </w:instrText>
      </w:r>
      <w:r>
        <w:rPr>
          <w:lang w:eastAsia="zh-CN"/>
        </w:rPr>
      </w:r>
      <w:r>
        <w:rPr>
          <w:lang w:eastAsia="zh-CN"/>
        </w:rPr>
        <w:fldChar w:fldCharType="separate"/>
      </w:r>
      <w:r w:rsidR="00842AE2">
        <w:rPr>
          <w:lang w:eastAsia="zh-CN"/>
        </w:rPr>
        <w:t>1</w:t>
      </w:r>
      <w:r>
        <w:rPr>
          <w:lang w:eastAsia="zh-CN"/>
        </w:rPr>
        <w:fldChar w:fldCharType="end"/>
      </w:r>
      <w:r>
        <w:rPr>
          <w:lang w:eastAsia="zh-CN"/>
        </w:rPr>
        <w:t xml:space="preserve">], with the following objectives related to necessary specification changes for NB-IoT and </w:t>
      </w:r>
      <w:proofErr w:type="spellStart"/>
      <w:r>
        <w:rPr>
          <w:lang w:eastAsia="zh-CN"/>
        </w:rPr>
        <w:t>eMTC</w:t>
      </w:r>
      <w:proofErr w:type="spellEnd"/>
      <w:r>
        <w:rPr>
          <w:lang w:eastAsia="zh-CN"/>
        </w:rPr>
        <w:t>:</w:t>
      </w:r>
    </w:p>
    <w:p w14:paraId="218CD9B0" w14:textId="77777777" w:rsidR="00E27822" w:rsidRPr="00760196" w:rsidRDefault="00E27822" w:rsidP="00E27822">
      <w:pPr>
        <w:rPr>
          <w:color w:val="0070C0"/>
          <w:sz w:val="20"/>
          <w:szCs w:val="20"/>
        </w:rPr>
      </w:pPr>
      <w:r w:rsidRPr="00760196">
        <w:rPr>
          <w:color w:val="0070C0"/>
        </w:rPr>
        <w:t xml:space="preserve">This Study will evaluate and confirm solutions to address the minimum necessary specifications for NB-IoT and </w:t>
      </w:r>
      <w:proofErr w:type="spellStart"/>
      <w:r w:rsidRPr="00760196">
        <w:rPr>
          <w:color w:val="0070C0"/>
        </w:rPr>
        <w:t>eMTC</w:t>
      </w:r>
      <w:proofErr w:type="spellEnd"/>
      <w:r w:rsidRPr="00760196">
        <w:rPr>
          <w:color w:val="0070C0"/>
        </w:rPr>
        <w:t xml:space="preserve"> according to the following objectives. </w:t>
      </w:r>
    </w:p>
    <w:p w14:paraId="3387FED1" w14:textId="77777777" w:rsidR="00E27822" w:rsidRPr="00182527" w:rsidRDefault="00E27822" w:rsidP="00E27822">
      <w:pPr>
        <w:rPr>
          <w:color w:val="0070C0"/>
        </w:rPr>
      </w:pPr>
      <w:r w:rsidRPr="00182527">
        <w:rPr>
          <w:color w:val="0070C0"/>
        </w:rPr>
        <w:t xml:space="preserve">The second objective is, for the above identified scenarios, to study and recommend necessary changes to support NB-IoT and </w:t>
      </w:r>
      <w:proofErr w:type="spellStart"/>
      <w:r w:rsidRPr="00182527">
        <w:rPr>
          <w:color w:val="0070C0"/>
        </w:rPr>
        <w:t>eMTC</w:t>
      </w:r>
      <w:proofErr w:type="spellEnd"/>
      <w:r w:rsidRPr="00182527">
        <w:rPr>
          <w:color w:val="0070C0"/>
        </w:rPr>
        <w:t xml:space="preserve"> over satellite, reusing as much as possible the conclusions of the studies performed for NR NTN in TR38.821. This objective will address the following items: </w:t>
      </w:r>
    </w:p>
    <w:p w14:paraId="03477584" w14:textId="77777777" w:rsidR="00E27822" w:rsidRPr="00182527" w:rsidRDefault="00E27822" w:rsidP="00E27822">
      <w:pPr>
        <w:pStyle w:val="B1"/>
        <w:rPr>
          <w:color w:val="0070C0"/>
        </w:rPr>
      </w:pPr>
      <w:r w:rsidRPr="00182527">
        <w:rPr>
          <w:color w:val="0070C0"/>
        </w:rPr>
        <w:t>-</w:t>
      </w:r>
      <w:r w:rsidRPr="00182527">
        <w:rPr>
          <w:color w:val="0070C0"/>
        </w:rPr>
        <w:tab/>
        <w:t>Aspects related to random access procedure/signals [RAN1, RAN2]</w:t>
      </w:r>
    </w:p>
    <w:p w14:paraId="6773F768" w14:textId="77777777" w:rsidR="00E27822" w:rsidRPr="00182527" w:rsidRDefault="00E27822" w:rsidP="00E27822">
      <w:pPr>
        <w:pStyle w:val="B1"/>
        <w:rPr>
          <w:color w:val="0070C0"/>
        </w:rPr>
      </w:pPr>
      <w:r w:rsidRPr="00182527">
        <w:rPr>
          <w:color w:val="0070C0"/>
        </w:rPr>
        <w:t>-</w:t>
      </w:r>
      <w:r w:rsidRPr="00182527">
        <w:rPr>
          <w:color w:val="0070C0"/>
        </w:rPr>
        <w:tab/>
        <w:t>Mechanisms for time/frequency adjustment including Timing Advance, and UL frequency compensation indication [RAN1, RAN2]</w:t>
      </w:r>
    </w:p>
    <w:p w14:paraId="66E7424C" w14:textId="77777777" w:rsidR="00E27822" w:rsidRPr="00182527" w:rsidRDefault="00E27822" w:rsidP="00E27822">
      <w:pPr>
        <w:pStyle w:val="B1"/>
        <w:rPr>
          <w:color w:val="0070C0"/>
        </w:rPr>
      </w:pPr>
      <w:r w:rsidRPr="00182527">
        <w:rPr>
          <w:color w:val="0070C0"/>
        </w:rPr>
        <w:t>-</w:t>
      </w:r>
      <w:r w:rsidRPr="00182527">
        <w:rPr>
          <w:color w:val="0070C0"/>
        </w:rPr>
        <w:tab/>
        <w:t>Timing offset related to scheduling and HARQ-ACK feedback [RAN1, RAN2]</w:t>
      </w:r>
    </w:p>
    <w:p w14:paraId="50E75592" w14:textId="77777777" w:rsidR="00E27822" w:rsidRPr="00182527" w:rsidRDefault="00E27822" w:rsidP="00E27822">
      <w:pPr>
        <w:pStyle w:val="B1"/>
        <w:rPr>
          <w:color w:val="0070C0"/>
        </w:rPr>
      </w:pPr>
      <w:r w:rsidRPr="00182527">
        <w:rPr>
          <w:color w:val="0070C0"/>
        </w:rPr>
        <w:t>-    Aspects related to HARQ operation [RAN2, RAN1]</w:t>
      </w:r>
    </w:p>
    <w:p w14:paraId="55CA9476" w14:textId="77777777" w:rsidR="00E27822" w:rsidRPr="00182527" w:rsidRDefault="00E27822" w:rsidP="00E27822">
      <w:pPr>
        <w:pStyle w:val="B1"/>
        <w:rPr>
          <w:color w:val="0070C0"/>
        </w:rPr>
      </w:pPr>
      <w:r w:rsidRPr="00182527">
        <w:rPr>
          <w:color w:val="0070C0"/>
        </w:rPr>
        <w:t>-</w:t>
      </w:r>
      <w:r w:rsidRPr="00182527">
        <w:rPr>
          <w:color w:val="0070C0"/>
        </w:rPr>
        <w:tab/>
        <w:t>General aspects related to timers (e.g. SR, DRX, etc.) [RAN2]</w:t>
      </w:r>
    </w:p>
    <w:p w14:paraId="57AE4536" w14:textId="77777777" w:rsidR="00E27822" w:rsidRPr="00182527" w:rsidRDefault="00E27822" w:rsidP="00E27822">
      <w:pPr>
        <w:pStyle w:val="B1"/>
        <w:rPr>
          <w:color w:val="0070C0"/>
        </w:rPr>
      </w:pPr>
      <w:r w:rsidRPr="00182527">
        <w:rPr>
          <w:color w:val="0070C0"/>
        </w:rPr>
        <w:t>-</w:t>
      </w:r>
      <w:r w:rsidRPr="00182527">
        <w:rPr>
          <w:color w:val="0070C0"/>
        </w:rPr>
        <w:tab/>
        <w:t>RAN2 aspects related to idle mode and connected mode mobility [RAN2]</w:t>
      </w:r>
    </w:p>
    <w:p w14:paraId="53A21A5C" w14:textId="77777777" w:rsidR="00E27822" w:rsidRPr="00182527" w:rsidRDefault="00E27822" w:rsidP="00E27822">
      <w:pPr>
        <w:pStyle w:val="B2"/>
        <w:rPr>
          <w:color w:val="0070C0"/>
        </w:rPr>
      </w:pPr>
      <w:r w:rsidRPr="00182527">
        <w:rPr>
          <w:color w:val="0070C0"/>
        </w:rPr>
        <w:t>-</w:t>
      </w:r>
      <w:r w:rsidRPr="00182527">
        <w:rPr>
          <w:color w:val="0070C0"/>
        </w:rPr>
        <w:tab/>
        <w:t>RLF-based for NB-IoT</w:t>
      </w:r>
    </w:p>
    <w:p w14:paraId="0CDA0AED" w14:textId="77777777" w:rsidR="00E27822" w:rsidRPr="00182527" w:rsidRDefault="00E27822" w:rsidP="00E27822">
      <w:pPr>
        <w:pStyle w:val="B2"/>
        <w:rPr>
          <w:color w:val="0070C0"/>
        </w:rPr>
      </w:pPr>
      <w:r w:rsidRPr="00182527">
        <w:rPr>
          <w:color w:val="0070C0"/>
        </w:rPr>
        <w:t>-</w:t>
      </w:r>
      <w:r w:rsidRPr="00182527">
        <w:rPr>
          <w:color w:val="0070C0"/>
        </w:rPr>
        <w:tab/>
        <w:t xml:space="preserve">Handover-based for </w:t>
      </w:r>
      <w:proofErr w:type="spellStart"/>
      <w:r w:rsidRPr="00182527">
        <w:rPr>
          <w:color w:val="0070C0"/>
        </w:rPr>
        <w:t>eMTC</w:t>
      </w:r>
      <w:proofErr w:type="spellEnd"/>
    </w:p>
    <w:p w14:paraId="23E1CEDC" w14:textId="77777777" w:rsidR="00E27822" w:rsidRPr="00182527" w:rsidRDefault="00E27822" w:rsidP="00E27822">
      <w:pPr>
        <w:pStyle w:val="B1"/>
        <w:rPr>
          <w:color w:val="0070C0"/>
        </w:rPr>
      </w:pPr>
      <w:r w:rsidRPr="00182527">
        <w:rPr>
          <w:color w:val="0070C0"/>
        </w:rPr>
        <w:t>-</w:t>
      </w:r>
      <w:r w:rsidRPr="00182527">
        <w:rPr>
          <w:color w:val="0070C0"/>
        </w:rPr>
        <w:tab/>
        <w:t>System information enhancements [RAN2]</w:t>
      </w:r>
    </w:p>
    <w:p w14:paraId="28C9A092" w14:textId="77777777" w:rsidR="00E27822" w:rsidRPr="00182527" w:rsidRDefault="00E27822" w:rsidP="00E27822">
      <w:pPr>
        <w:pStyle w:val="B1"/>
        <w:rPr>
          <w:color w:val="0070C0"/>
        </w:rPr>
      </w:pPr>
      <w:r w:rsidRPr="00182527">
        <w:rPr>
          <w:color w:val="0070C0"/>
        </w:rPr>
        <w:t>-</w:t>
      </w:r>
      <w:r w:rsidRPr="00182527">
        <w:rPr>
          <w:color w:val="0070C0"/>
        </w:rPr>
        <w:tab/>
        <w:t>Tracking area enhancements [RAN2]</w:t>
      </w:r>
    </w:p>
    <w:p w14:paraId="5A21C1ED" w14:textId="77777777" w:rsidR="00E27822" w:rsidRPr="00C04A93" w:rsidRDefault="00E27822" w:rsidP="00E27822">
      <w:pPr>
        <w:pStyle w:val="NO"/>
        <w:rPr>
          <w:color w:val="0070C0"/>
        </w:rPr>
      </w:pPr>
      <w:r w:rsidRPr="00C04A93">
        <w:rPr>
          <w:color w:val="0070C0"/>
        </w:rPr>
        <w:t xml:space="preserve">NOTE 3: </w:t>
      </w:r>
      <w:r w:rsidRPr="00C04A93">
        <w:rPr>
          <w:color w:val="0070C0"/>
        </w:rPr>
        <w:tab/>
        <w:t xml:space="preserve">GNSS capability in the UE is taken as a working assumption in this study for both NB-IoT and </w:t>
      </w:r>
      <w:proofErr w:type="spellStart"/>
      <w:r w:rsidRPr="00C04A93">
        <w:rPr>
          <w:color w:val="0070C0"/>
        </w:rPr>
        <w:t>eMTC</w:t>
      </w:r>
      <w:proofErr w:type="spellEnd"/>
      <w:r w:rsidRPr="00C04A93">
        <w:rPr>
          <w:color w:val="0070C0"/>
        </w:rPr>
        <w:t xml:space="preserve"> devices. With this assumption, UE can estimate and pre-compensate timing and frequency offset with </w:t>
      </w:r>
      <w:proofErr w:type="gramStart"/>
      <w:r w:rsidRPr="00C04A93">
        <w:rPr>
          <w:color w:val="0070C0"/>
        </w:rPr>
        <w:t>sufficient</w:t>
      </w:r>
      <w:proofErr w:type="gramEnd"/>
      <w:r w:rsidRPr="00C04A93">
        <w:rPr>
          <w:color w:val="0070C0"/>
        </w:rPr>
        <w:t xml:space="preserve"> accuracy for UL transmission. Simultaneous GNSS and NTN NB-IoT/</w:t>
      </w:r>
      <w:proofErr w:type="spellStart"/>
      <w:r w:rsidRPr="00C04A93">
        <w:rPr>
          <w:color w:val="0070C0"/>
        </w:rPr>
        <w:t>eMTC</w:t>
      </w:r>
      <w:proofErr w:type="spellEnd"/>
      <w:r w:rsidRPr="00C04A93">
        <w:rPr>
          <w:color w:val="0070C0"/>
        </w:rPr>
        <w:t xml:space="preserve"> operation is not assumed.</w:t>
      </w:r>
    </w:p>
    <w:p w14:paraId="16ED2117" w14:textId="3980B277" w:rsidR="00760196" w:rsidRDefault="00760196" w:rsidP="00D176D9">
      <w:pPr>
        <w:rPr>
          <w:lang w:val="en-GB" w:eastAsia="zh-CN"/>
        </w:rPr>
      </w:pPr>
    </w:p>
    <w:p w14:paraId="194B4631" w14:textId="24D67406" w:rsidR="00760196" w:rsidRDefault="00760196" w:rsidP="00D176D9">
      <w:pPr>
        <w:rPr>
          <w:lang w:val="en-GB" w:eastAsia="zh-CN"/>
        </w:rPr>
      </w:pPr>
      <w:r>
        <w:rPr>
          <w:lang w:val="en-GB" w:eastAsia="zh-CN"/>
        </w:rPr>
        <w:t xml:space="preserve">This document considers </w:t>
      </w:r>
      <w:r w:rsidR="00E27822">
        <w:rPr>
          <w:lang w:val="en-GB" w:eastAsia="zh-CN"/>
        </w:rPr>
        <w:t>HARQ issues</w:t>
      </w:r>
      <w:r w:rsidR="00A51933">
        <w:rPr>
          <w:lang w:val="en-GB" w:eastAsia="zh-CN"/>
        </w:rPr>
        <w:t xml:space="preserve"> for the support of NB-IoT and </w:t>
      </w:r>
      <w:proofErr w:type="spellStart"/>
      <w:r w:rsidR="00A51933">
        <w:rPr>
          <w:lang w:val="en-GB" w:eastAsia="zh-CN"/>
        </w:rPr>
        <w:t>eMTC</w:t>
      </w:r>
      <w:proofErr w:type="spellEnd"/>
      <w:r w:rsidR="00A51933">
        <w:rPr>
          <w:lang w:val="en-GB" w:eastAsia="zh-CN"/>
        </w:rPr>
        <w:t xml:space="preserve"> over NTN.</w:t>
      </w:r>
    </w:p>
    <w:p w14:paraId="522DBF4E" w14:textId="7B8DC6FF" w:rsidR="006A341C" w:rsidRDefault="006A341C" w:rsidP="00D176D9">
      <w:pPr>
        <w:rPr>
          <w:lang w:val="en-GB" w:eastAsia="zh-CN"/>
        </w:rPr>
      </w:pPr>
      <w:r>
        <w:rPr>
          <w:lang w:val="en-GB" w:eastAsia="zh-CN"/>
        </w:rPr>
        <w:t>The document firstly considers the amount of coverage enhancement that is required for IoT-NTN. This allows a study to be made on the proportion of the HARQ cycle time that is filled with active PUSCH / PDSCH transmissions. The document concludes with some observations on the power consumption implications of not being able to fully populate the HARQ cycle with active PUSCH / PDSCH transmissions.</w:t>
      </w:r>
    </w:p>
    <w:p w14:paraId="20703285" w14:textId="6F23281B" w:rsidR="00A51933" w:rsidRDefault="00A51933" w:rsidP="00D176D9">
      <w:pPr>
        <w:rPr>
          <w:lang w:val="en-GB" w:eastAsia="zh-CN"/>
        </w:rPr>
      </w:pPr>
    </w:p>
    <w:p w14:paraId="0565BD38" w14:textId="4E81E2A0" w:rsidR="00A51933" w:rsidRPr="00094F43" w:rsidRDefault="00977A3D" w:rsidP="00A51933">
      <w:pPr>
        <w:pStyle w:val="Heading1"/>
        <w:spacing w:after="80"/>
        <w:jc w:val="left"/>
        <w:rPr>
          <w:sz w:val="24"/>
          <w:lang w:eastAsia="zh-CN"/>
        </w:rPr>
      </w:pPr>
      <w:r>
        <w:rPr>
          <w:sz w:val="24"/>
          <w:lang w:eastAsia="zh-CN"/>
        </w:rPr>
        <w:lastRenderedPageBreak/>
        <w:t>Amount of coverage enhancement required for IoT-NTN operation</w:t>
      </w:r>
    </w:p>
    <w:p w14:paraId="11E6E2EE" w14:textId="1C5D1BFB" w:rsidR="00977A3D" w:rsidRDefault="00977A3D" w:rsidP="00977A3D">
      <w:r>
        <w:t xml:space="preserve">The IoT-NTN link budget is discussed in </w:t>
      </w:r>
      <w:r>
        <w:fldChar w:fldCharType="begin"/>
      </w:r>
      <w:r>
        <w:instrText xml:space="preserve"> REF _Ref61896723 \r \h </w:instrText>
      </w:r>
      <w:r>
        <w:fldChar w:fldCharType="separate"/>
      </w:r>
      <w:r w:rsidR="00842AE2">
        <w:t>[4]</w:t>
      </w:r>
      <w:r>
        <w:fldChar w:fldCharType="end"/>
      </w:r>
      <w:r>
        <w:t xml:space="preserve">. The available SNRs for full-PRB PUSCH </w:t>
      </w:r>
      <w:proofErr w:type="spellStart"/>
      <w:r w:rsidR="007030C3">
        <w:t>eMTC</w:t>
      </w:r>
      <w:proofErr w:type="spellEnd"/>
      <w:r w:rsidR="007030C3">
        <w:t xml:space="preserve"> </w:t>
      </w:r>
      <w:r>
        <w:t>transmission</w:t>
      </w:r>
      <w:r w:rsidR="007030C3">
        <w:t>s</w:t>
      </w:r>
      <w:r>
        <w:t xml:space="preserve"> in GEO, LEO-600 and LEO-1200 constellations are summarized in </w:t>
      </w:r>
      <w:r w:rsidR="007030C3">
        <w:fldChar w:fldCharType="begin"/>
      </w:r>
      <w:r w:rsidR="007030C3">
        <w:instrText xml:space="preserve"> REF _Ref61897076 \h </w:instrText>
      </w:r>
      <w:r w:rsidR="007030C3">
        <w:fldChar w:fldCharType="separate"/>
      </w:r>
      <w:r w:rsidR="00842AE2">
        <w:t xml:space="preserve">Table </w:t>
      </w:r>
      <w:r w:rsidR="00842AE2">
        <w:rPr>
          <w:noProof/>
        </w:rPr>
        <w:t>1</w:t>
      </w:r>
      <w:r w:rsidR="007030C3">
        <w:fldChar w:fldCharType="end"/>
      </w:r>
      <w:r w:rsidR="0006425E">
        <w:t>.</w:t>
      </w:r>
    </w:p>
    <w:p w14:paraId="3029EEC1" w14:textId="1D916890" w:rsidR="0006425E" w:rsidRDefault="0006425E" w:rsidP="0006425E">
      <w:r>
        <w:rPr>
          <w:bCs/>
        </w:rPr>
        <w:t xml:space="preserve">There have been various studies that include analysis of the SNR performance and coverage of </w:t>
      </w:r>
      <w:proofErr w:type="spellStart"/>
      <w:r>
        <w:rPr>
          <w:bCs/>
        </w:rPr>
        <w:t>eMTC</w:t>
      </w:r>
      <w:proofErr w:type="spellEnd"/>
      <w:r>
        <w:rPr>
          <w:bCs/>
        </w:rPr>
        <w:t xml:space="preserve"> </w:t>
      </w:r>
      <w:r>
        <w:rPr>
          <w:bCs/>
        </w:rPr>
        <w:fldChar w:fldCharType="begin"/>
      </w:r>
      <w:r>
        <w:rPr>
          <w:bCs/>
        </w:rPr>
        <w:instrText xml:space="preserve"> REF _Ref54301188 \w \h </w:instrText>
      </w:r>
      <w:r>
        <w:rPr>
          <w:bCs/>
        </w:rPr>
      </w:r>
      <w:r>
        <w:rPr>
          <w:bCs/>
        </w:rPr>
        <w:fldChar w:fldCharType="separate"/>
      </w:r>
      <w:r w:rsidR="00842AE2">
        <w:rPr>
          <w:bCs/>
        </w:rPr>
        <w:t>[5]</w:t>
      </w:r>
      <w:r>
        <w:rPr>
          <w:bCs/>
        </w:rPr>
        <w:fldChar w:fldCharType="end"/>
      </w:r>
      <w:r>
        <w:rPr>
          <w:bCs/>
        </w:rPr>
        <w:t xml:space="preserve"> and NB-IoT. </w:t>
      </w:r>
      <w:r w:rsidR="00D55F85">
        <w:rPr>
          <w:bCs/>
        </w:rPr>
        <w:fldChar w:fldCharType="begin"/>
      </w:r>
      <w:r w:rsidR="00D55F85">
        <w:rPr>
          <w:bCs/>
        </w:rPr>
        <w:instrText xml:space="preserve"> REF _Ref61902510 \h </w:instrText>
      </w:r>
      <w:r w:rsidR="00D55F85">
        <w:rPr>
          <w:bCs/>
        </w:rPr>
      </w:r>
      <w:r w:rsidR="00D55F85">
        <w:rPr>
          <w:bCs/>
        </w:rPr>
        <w:fldChar w:fldCharType="separate"/>
      </w:r>
      <w:r w:rsidR="00D55F85">
        <w:t xml:space="preserve">Figure </w:t>
      </w:r>
      <w:r w:rsidR="00D55F85">
        <w:rPr>
          <w:noProof/>
        </w:rPr>
        <w:t>1</w:t>
      </w:r>
      <w:r w:rsidR="00D55F85">
        <w:rPr>
          <w:bCs/>
        </w:rPr>
        <w:fldChar w:fldCharType="end"/>
      </w:r>
      <w:r>
        <w:rPr>
          <w:bCs/>
        </w:rPr>
        <w:t xml:space="preserve"> is taken from </w:t>
      </w:r>
      <w:r>
        <w:rPr>
          <w:highlight w:val="yellow"/>
        </w:rPr>
        <w:fldChar w:fldCharType="begin"/>
      </w:r>
      <w:r>
        <w:rPr>
          <w:bCs/>
        </w:rPr>
        <w:instrText xml:space="preserve"> REF _Ref54301188 \w \h </w:instrText>
      </w:r>
      <w:r>
        <w:rPr>
          <w:highlight w:val="yellow"/>
        </w:rPr>
      </w:r>
      <w:r>
        <w:rPr>
          <w:highlight w:val="yellow"/>
        </w:rPr>
        <w:fldChar w:fldCharType="separate"/>
      </w:r>
      <w:r w:rsidR="00842AE2">
        <w:rPr>
          <w:bCs/>
        </w:rPr>
        <w:t>[5]</w:t>
      </w:r>
      <w:r>
        <w:rPr>
          <w:highlight w:val="yellow"/>
        </w:rPr>
        <w:fldChar w:fldCharType="end"/>
      </w:r>
      <w:r>
        <w:t xml:space="preserve"> and illustrates the simulated performance of </w:t>
      </w:r>
      <w:proofErr w:type="spellStart"/>
      <w:r>
        <w:t>eMTC</w:t>
      </w:r>
      <w:proofErr w:type="spellEnd"/>
      <w:r>
        <w:t xml:space="preserve"> in an ETU channel with 2RX diversity at the </w:t>
      </w:r>
      <w:proofErr w:type="spellStart"/>
      <w:r>
        <w:t>eNB</w:t>
      </w:r>
      <w:proofErr w:type="spellEnd"/>
      <w:r>
        <w:t xml:space="preserve">, operating in CE mode B (for detailed simulation assumptions, please refer to </w:t>
      </w:r>
      <w:r>
        <w:rPr>
          <w:highlight w:val="yellow"/>
        </w:rPr>
        <w:fldChar w:fldCharType="begin"/>
      </w:r>
      <w:r>
        <w:instrText xml:space="preserve"> REF _Ref54301188 \w \h </w:instrText>
      </w:r>
      <w:r>
        <w:rPr>
          <w:highlight w:val="yellow"/>
        </w:rPr>
      </w:r>
      <w:r>
        <w:rPr>
          <w:highlight w:val="yellow"/>
        </w:rPr>
        <w:fldChar w:fldCharType="separate"/>
      </w:r>
      <w:r w:rsidR="00842AE2">
        <w:t>[5]</w:t>
      </w:r>
      <w:r>
        <w:rPr>
          <w:highlight w:val="yellow"/>
        </w:rPr>
        <w:fldChar w:fldCharType="end"/>
      </w:r>
      <w:r>
        <w:t xml:space="preserve">) with a transport block size of up to 504 bits (the maximum TBS supported in CE Mode B) and full PRB transmission. The supported PHY data rates can be determined from this figure for the SNR operating points in the link budget. Based on the PHY data rate, the transmission time for the </w:t>
      </w:r>
      <w:proofErr w:type="gramStart"/>
      <w:r>
        <w:t>504 bit</w:t>
      </w:r>
      <w:proofErr w:type="gramEnd"/>
      <w:r>
        <w:t xml:space="preserve"> TBS can be calculated and the approximate number of repetitions required. These values are also included in </w:t>
      </w:r>
      <w:r>
        <w:fldChar w:fldCharType="begin"/>
      </w:r>
      <w:r>
        <w:instrText xml:space="preserve"> REF _Ref61897076 \h </w:instrText>
      </w:r>
      <w:r>
        <w:fldChar w:fldCharType="separate"/>
      </w:r>
      <w:r w:rsidR="00842AE2">
        <w:t xml:space="preserve">Table </w:t>
      </w:r>
      <w:r w:rsidR="00842AE2">
        <w:rPr>
          <w:noProof/>
        </w:rPr>
        <w:t>1</w:t>
      </w:r>
      <w:r>
        <w:fldChar w:fldCharType="end"/>
      </w:r>
      <w:r>
        <w:t>.</w:t>
      </w:r>
    </w:p>
    <w:p w14:paraId="002F42FF" w14:textId="77777777" w:rsidR="0006425E" w:rsidRDefault="0006425E" w:rsidP="00977A3D"/>
    <w:p w14:paraId="55764653" w14:textId="3F7D1B34" w:rsidR="00977A3D" w:rsidRDefault="007030C3" w:rsidP="007030C3">
      <w:pPr>
        <w:pStyle w:val="Caption"/>
      </w:pPr>
      <w:bookmarkStart w:id="1" w:name="_Ref61897076"/>
      <w:r>
        <w:t xml:space="preserve">Table </w:t>
      </w:r>
      <w:r w:rsidR="00291A6A">
        <w:fldChar w:fldCharType="begin"/>
      </w:r>
      <w:r w:rsidR="00291A6A">
        <w:instrText xml:space="preserve"> SEQ Table \* ARABIC </w:instrText>
      </w:r>
      <w:r w:rsidR="00291A6A">
        <w:fldChar w:fldCharType="separate"/>
      </w:r>
      <w:r w:rsidR="00842AE2">
        <w:rPr>
          <w:noProof/>
        </w:rPr>
        <w:t>1</w:t>
      </w:r>
      <w:r w:rsidR="00291A6A">
        <w:rPr>
          <w:noProof/>
        </w:rPr>
        <w:fldChar w:fldCharType="end"/>
      </w:r>
      <w:bookmarkEnd w:id="1"/>
      <w:r>
        <w:t xml:space="preserve"> – Available SNR </w:t>
      </w:r>
      <w:r w:rsidR="0006425E">
        <w:t xml:space="preserve">and transmission times </w:t>
      </w:r>
      <w:r>
        <w:t xml:space="preserve">for full-PRC </w:t>
      </w:r>
      <w:proofErr w:type="spellStart"/>
      <w:r>
        <w:t>eMTC</w:t>
      </w:r>
      <w:proofErr w:type="spellEnd"/>
      <w:r>
        <w:t xml:space="preserve"> transmissions in IoT-NTN constellations</w:t>
      </w:r>
    </w:p>
    <w:tbl>
      <w:tblPr>
        <w:tblStyle w:val="TableGrid"/>
        <w:tblW w:w="0" w:type="auto"/>
        <w:jc w:val="center"/>
        <w:tblLook w:val="04A0" w:firstRow="1" w:lastRow="0" w:firstColumn="1" w:lastColumn="0" w:noHBand="0" w:noVBand="1"/>
      </w:tblPr>
      <w:tblGrid>
        <w:gridCol w:w="1652"/>
        <w:gridCol w:w="1652"/>
        <w:gridCol w:w="1653"/>
        <w:gridCol w:w="2175"/>
        <w:gridCol w:w="2175"/>
      </w:tblGrid>
      <w:tr w:rsidR="00763B64" w:rsidRPr="007030C3" w14:paraId="3CC0204C" w14:textId="2EE18EF7" w:rsidTr="00763B64">
        <w:trPr>
          <w:jc w:val="center"/>
        </w:trPr>
        <w:tc>
          <w:tcPr>
            <w:tcW w:w="1652" w:type="dxa"/>
            <w:shd w:val="clear" w:color="auto" w:fill="D9D9D9" w:themeFill="background1" w:themeFillShade="D9"/>
          </w:tcPr>
          <w:p w14:paraId="5A29C4D1" w14:textId="1BAB9BD6" w:rsidR="00763B64" w:rsidRPr="007030C3" w:rsidRDefault="00763B64" w:rsidP="007030C3">
            <w:pPr>
              <w:spacing w:after="0"/>
              <w:rPr>
                <w:b/>
                <w:bCs/>
              </w:rPr>
            </w:pPr>
            <w:r w:rsidRPr="007030C3">
              <w:rPr>
                <w:b/>
                <w:bCs/>
              </w:rPr>
              <w:t>Constellation</w:t>
            </w:r>
          </w:p>
        </w:tc>
        <w:tc>
          <w:tcPr>
            <w:tcW w:w="1652" w:type="dxa"/>
            <w:shd w:val="clear" w:color="auto" w:fill="D9D9D9" w:themeFill="background1" w:themeFillShade="D9"/>
          </w:tcPr>
          <w:p w14:paraId="0F706384" w14:textId="7086B559" w:rsidR="00763B64" w:rsidRPr="007030C3" w:rsidRDefault="00763B64" w:rsidP="007030C3">
            <w:pPr>
              <w:spacing w:after="0"/>
              <w:rPr>
                <w:b/>
                <w:bCs/>
              </w:rPr>
            </w:pPr>
            <w:r w:rsidRPr="007030C3">
              <w:rPr>
                <w:b/>
                <w:bCs/>
              </w:rPr>
              <w:t>Available SNR</w:t>
            </w:r>
          </w:p>
        </w:tc>
        <w:tc>
          <w:tcPr>
            <w:tcW w:w="1653" w:type="dxa"/>
            <w:shd w:val="clear" w:color="auto" w:fill="D9D9D9" w:themeFill="background1" w:themeFillShade="D9"/>
          </w:tcPr>
          <w:p w14:paraId="5EC69617" w14:textId="4627B712" w:rsidR="00763B64" w:rsidRPr="007030C3" w:rsidRDefault="00763B64" w:rsidP="007030C3">
            <w:pPr>
              <w:spacing w:after="0"/>
              <w:rPr>
                <w:b/>
                <w:bCs/>
              </w:rPr>
            </w:pPr>
            <w:r>
              <w:rPr>
                <w:b/>
                <w:bCs/>
              </w:rPr>
              <w:t>PHY data rate</w:t>
            </w:r>
          </w:p>
        </w:tc>
        <w:tc>
          <w:tcPr>
            <w:tcW w:w="2175" w:type="dxa"/>
            <w:shd w:val="clear" w:color="auto" w:fill="D9D9D9" w:themeFill="background1" w:themeFillShade="D9"/>
          </w:tcPr>
          <w:p w14:paraId="640FBD7E" w14:textId="3212060A" w:rsidR="00763B64" w:rsidRPr="007030C3" w:rsidRDefault="00763B64" w:rsidP="007030C3">
            <w:pPr>
              <w:spacing w:after="0"/>
              <w:rPr>
                <w:b/>
                <w:bCs/>
              </w:rPr>
            </w:pPr>
            <w:r>
              <w:rPr>
                <w:b/>
                <w:bCs/>
              </w:rPr>
              <w:t xml:space="preserve">Transmission time for </w:t>
            </w:r>
            <w:proofErr w:type="gramStart"/>
            <w:r>
              <w:rPr>
                <w:b/>
                <w:bCs/>
              </w:rPr>
              <w:t>504 bit</w:t>
            </w:r>
            <w:proofErr w:type="gramEnd"/>
            <w:r>
              <w:rPr>
                <w:b/>
                <w:bCs/>
              </w:rPr>
              <w:t xml:space="preserve"> TBS</w:t>
            </w:r>
          </w:p>
        </w:tc>
        <w:tc>
          <w:tcPr>
            <w:tcW w:w="2175" w:type="dxa"/>
            <w:shd w:val="clear" w:color="auto" w:fill="D9D9D9" w:themeFill="background1" w:themeFillShade="D9"/>
          </w:tcPr>
          <w:p w14:paraId="1E36784B" w14:textId="03301823" w:rsidR="00763B64" w:rsidRDefault="00763B64" w:rsidP="007030C3">
            <w:pPr>
              <w:spacing w:after="0"/>
              <w:rPr>
                <w:b/>
                <w:bCs/>
              </w:rPr>
            </w:pPr>
            <w:r>
              <w:rPr>
                <w:b/>
                <w:bCs/>
              </w:rPr>
              <w:t xml:space="preserve"># REP for </w:t>
            </w:r>
            <w:proofErr w:type="spellStart"/>
            <w:r>
              <w:rPr>
                <w:b/>
                <w:bCs/>
              </w:rPr>
              <w:t>eMTC</w:t>
            </w:r>
            <w:proofErr w:type="spellEnd"/>
          </w:p>
        </w:tc>
      </w:tr>
      <w:tr w:rsidR="00763B64" w14:paraId="767D2A1B" w14:textId="2AB19191" w:rsidTr="00763B64">
        <w:trPr>
          <w:jc w:val="center"/>
        </w:trPr>
        <w:tc>
          <w:tcPr>
            <w:tcW w:w="1652" w:type="dxa"/>
          </w:tcPr>
          <w:p w14:paraId="31A3E491" w14:textId="521594D4" w:rsidR="00763B64" w:rsidRDefault="00763B64" w:rsidP="007030C3">
            <w:pPr>
              <w:spacing w:after="0"/>
            </w:pPr>
            <w:r>
              <w:t>GEO</w:t>
            </w:r>
          </w:p>
        </w:tc>
        <w:tc>
          <w:tcPr>
            <w:tcW w:w="1652" w:type="dxa"/>
          </w:tcPr>
          <w:p w14:paraId="77846A29" w14:textId="1BA979FB" w:rsidR="00763B64" w:rsidRDefault="00763B64" w:rsidP="007030C3">
            <w:pPr>
              <w:spacing w:after="0"/>
            </w:pPr>
            <w:r>
              <w:t>-16dB</w:t>
            </w:r>
          </w:p>
        </w:tc>
        <w:tc>
          <w:tcPr>
            <w:tcW w:w="1653" w:type="dxa"/>
          </w:tcPr>
          <w:p w14:paraId="50BA3ABE" w14:textId="61C620FE" w:rsidR="00763B64" w:rsidRDefault="00763B64" w:rsidP="007030C3">
            <w:pPr>
              <w:spacing w:after="0"/>
            </w:pPr>
            <w:r>
              <w:t>1500bps</w:t>
            </w:r>
          </w:p>
        </w:tc>
        <w:tc>
          <w:tcPr>
            <w:tcW w:w="2175" w:type="dxa"/>
          </w:tcPr>
          <w:p w14:paraId="6150FEAA" w14:textId="5A04C2AC" w:rsidR="00763B64" w:rsidRDefault="00763B64" w:rsidP="007030C3">
            <w:pPr>
              <w:spacing w:after="0"/>
            </w:pPr>
            <w:r>
              <w:t>340ms</w:t>
            </w:r>
          </w:p>
        </w:tc>
        <w:tc>
          <w:tcPr>
            <w:tcW w:w="2175" w:type="dxa"/>
          </w:tcPr>
          <w:p w14:paraId="792A239E" w14:textId="16F3CE8F" w:rsidR="00763B64" w:rsidRDefault="00763B64" w:rsidP="007030C3">
            <w:pPr>
              <w:spacing w:after="0"/>
            </w:pPr>
            <w:r>
              <w:t>256 to 512</w:t>
            </w:r>
          </w:p>
        </w:tc>
      </w:tr>
      <w:tr w:rsidR="00763B64" w14:paraId="5995D450" w14:textId="60A54A39" w:rsidTr="00763B64">
        <w:trPr>
          <w:jc w:val="center"/>
        </w:trPr>
        <w:tc>
          <w:tcPr>
            <w:tcW w:w="1652" w:type="dxa"/>
          </w:tcPr>
          <w:p w14:paraId="3AC54AA4" w14:textId="0C26BC4E" w:rsidR="00763B64" w:rsidRDefault="00763B64" w:rsidP="007030C3">
            <w:pPr>
              <w:spacing w:after="0"/>
            </w:pPr>
            <w:r>
              <w:t>LEO-600</w:t>
            </w:r>
          </w:p>
        </w:tc>
        <w:tc>
          <w:tcPr>
            <w:tcW w:w="1652" w:type="dxa"/>
          </w:tcPr>
          <w:p w14:paraId="3DCD40BB" w14:textId="6CF1C02C" w:rsidR="00763B64" w:rsidRDefault="00763B64" w:rsidP="007030C3">
            <w:pPr>
              <w:spacing w:after="0"/>
            </w:pPr>
            <w:r>
              <w:t>-14dB</w:t>
            </w:r>
          </w:p>
        </w:tc>
        <w:tc>
          <w:tcPr>
            <w:tcW w:w="1653" w:type="dxa"/>
          </w:tcPr>
          <w:p w14:paraId="41B3B4F5" w14:textId="26DB509A" w:rsidR="00763B64" w:rsidRDefault="00763B64" w:rsidP="007030C3">
            <w:pPr>
              <w:spacing w:after="0"/>
            </w:pPr>
            <w:r>
              <w:t>3000bps</w:t>
            </w:r>
          </w:p>
        </w:tc>
        <w:tc>
          <w:tcPr>
            <w:tcW w:w="2175" w:type="dxa"/>
          </w:tcPr>
          <w:p w14:paraId="62C962D9" w14:textId="56AFA3EE" w:rsidR="00763B64" w:rsidRDefault="00763B64" w:rsidP="007030C3">
            <w:pPr>
              <w:spacing w:after="0"/>
            </w:pPr>
            <w:r>
              <w:t>170ms</w:t>
            </w:r>
          </w:p>
        </w:tc>
        <w:tc>
          <w:tcPr>
            <w:tcW w:w="2175" w:type="dxa"/>
          </w:tcPr>
          <w:p w14:paraId="401D6737" w14:textId="0EEC080D" w:rsidR="00763B64" w:rsidRDefault="00763B64" w:rsidP="007030C3">
            <w:pPr>
              <w:spacing w:after="0"/>
            </w:pPr>
            <w:r>
              <w:t>128 to 256</w:t>
            </w:r>
          </w:p>
        </w:tc>
      </w:tr>
      <w:tr w:rsidR="00763B64" w14:paraId="501A9B6C" w14:textId="430D8225" w:rsidTr="00763B64">
        <w:trPr>
          <w:jc w:val="center"/>
        </w:trPr>
        <w:tc>
          <w:tcPr>
            <w:tcW w:w="1652" w:type="dxa"/>
          </w:tcPr>
          <w:p w14:paraId="63FEF8F2" w14:textId="79E945CB" w:rsidR="00763B64" w:rsidRDefault="00763B64" w:rsidP="007030C3">
            <w:pPr>
              <w:spacing w:after="0"/>
            </w:pPr>
            <w:r>
              <w:t>LEO-1200</w:t>
            </w:r>
          </w:p>
        </w:tc>
        <w:tc>
          <w:tcPr>
            <w:tcW w:w="1652" w:type="dxa"/>
          </w:tcPr>
          <w:p w14:paraId="47A14DBB" w14:textId="66E7D450" w:rsidR="00763B64" w:rsidRDefault="00763B64" w:rsidP="007030C3">
            <w:pPr>
              <w:spacing w:after="0"/>
            </w:pPr>
            <w:r>
              <w:t>-19.5dB</w:t>
            </w:r>
          </w:p>
        </w:tc>
        <w:tc>
          <w:tcPr>
            <w:tcW w:w="1653" w:type="dxa"/>
          </w:tcPr>
          <w:p w14:paraId="62D33370" w14:textId="2AE8B3C2" w:rsidR="00763B64" w:rsidRDefault="00763B64" w:rsidP="007030C3">
            <w:pPr>
              <w:spacing w:after="0"/>
            </w:pPr>
            <w:r>
              <w:t>600bps</w:t>
            </w:r>
          </w:p>
        </w:tc>
        <w:tc>
          <w:tcPr>
            <w:tcW w:w="2175" w:type="dxa"/>
          </w:tcPr>
          <w:p w14:paraId="1788710C" w14:textId="23182459" w:rsidR="00763B64" w:rsidRDefault="00763B64" w:rsidP="007030C3">
            <w:pPr>
              <w:spacing w:after="0"/>
            </w:pPr>
            <w:r>
              <w:t>840ms</w:t>
            </w:r>
          </w:p>
        </w:tc>
        <w:tc>
          <w:tcPr>
            <w:tcW w:w="2175" w:type="dxa"/>
          </w:tcPr>
          <w:p w14:paraId="7846A51F" w14:textId="7ACE8634" w:rsidR="00763B64" w:rsidRDefault="0006425E" w:rsidP="007030C3">
            <w:pPr>
              <w:spacing w:after="0"/>
            </w:pPr>
            <w:r>
              <w:t>1024</w:t>
            </w:r>
          </w:p>
        </w:tc>
      </w:tr>
    </w:tbl>
    <w:p w14:paraId="07E9E7AB" w14:textId="52D9F909" w:rsidR="00977A3D" w:rsidRDefault="00977A3D" w:rsidP="00977A3D"/>
    <w:p w14:paraId="7139816E" w14:textId="33CD9D14" w:rsidR="007030C3" w:rsidRDefault="007030C3" w:rsidP="007030C3">
      <w:r>
        <w:rPr>
          <w:bCs/>
        </w:rPr>
        <w:t xml:space="preserve">It is expected that similar transmission times </w:t>
      </w:r>
      <w:r w:rsidR="0006425E">
        <w:rPr>
          <w:bCs/>
        </w:rPr>
        <w:t xml:space="preserve">to those shown in </w:t>
      </w:r>
      <w:r w:rsidR="0006425E">
        <w:fldChar w:fldCharType="begin"/>
      </w:r>
      <w:r w:rsidR="0006425E">
        <w:instrText xml:space="preserve"> REF _Ref61897076 \h </w:instrText>
      </w:r>
      <w:r w:rsidR="0006425E">
        <w:fldChar w:fldCharType="separate"/>
      </w:r>
      <w:r w:rsidR="00842AE2">
        <w:t xml:space="preserve">Table </w:t>
      </w:r>
      <w:r w:rsidR="00842AE2">
        <w:rPr>
          <w:noProof/>
        </w:rPr>
        <w:t>1</w:t>
      </w:r>
      <w:r w:rsidR="0006425E">
        <w:fldChar w:fldCharType="end"/>
      </w:r>
      <w:r w:rsidR="0006425E">
        <w:t xml:space="preserve"> </w:t>
      </w:r>
      <w:r>
        <w:rPr>
          <w:bCs/>
        </w:rPr>
        <w:t>w</w:t>
      </w:r>
      <w:r w:rsidR="0006425E">
        <w:rPr>
          <w:bCs/>
        </w:rPr>
        <w:t>ould</w:t>
      </w:r>
      <w:r>
        <w:rPr>
          <w:bCs/>
        </w:rPr>
        <w:t xml:space="preserve"> be required for </w:t>
      </w:r>
      <w:proofErr w:type="spellStart"/>
      <w:r>
        <w:rPr>
          <w:bCs/>
        </w:rPr>
        <w:t>eMTC</w:t>
      </w:r>
      <w:proofErr w:type="spellEnd"/>
      <w:r>
        <w:rPr>
          <w:bCs/>
        </w:rPr>
        <w:t xml:space="preserve"> sub-PRB transmission or for NB-IoT, where in both cases, the SNR is higher (due to higher spectral density transmission), but the number of subcarriers is lower, which balances out the increased SNR aspect.</w:t>
      </w:r>
      <w:r w:rsidRPr="00852747">
        <w:t xml:space="preserve"> </w:t>
      </w:r>
      <w:r>
        <w:t>For example, for NB-IoT in the GEO case, only 4 repetitions are required, but each repetition is 80ms long (10RU, where each RU is 8ms long).</w:t>
      </w:r>
    </w:p>
    <w:p w14:paraId="1CBFAA43" w14:textId="638AB833" w:rsidR="00763B64" w:rsidRDefault="00763B64" w:rsidP="007030C3">
      <w:pPr>
        <w:rPr>
          <w:bCs/>
        </w:rPr>
      </w:pPr>
      <w:r>
        <w:rPr>
          <w:bCs/>
        </w:rPr>
        <w:t xml:space="preserve">While different data rate vs SNR curves would be achieved with different link level simulation assumptions, we think that the number of repetitions and transmission times discussed above are indicative of IoT-NTN performance. Note that </w:t>
      </w:r>
      <w:r>
        <w:rPr>
          <w:bCs/>
        </w:rPr>
        <w:fldChar w:fldCharType="begin"/>
      </w:r>
      <w:r>
        <w:rPr>
          <w:bCs/>
        </w:rPr>
        <w:instrText xml:space="preserve"> REF _Ref61897527 \r \h </w:instrText>
      </w:r>
      <w:r>
        <w:rPr>
          <w:bCs/>
        </w:rPr>
      </w:r>
      <w:r>
        <w:rPr>
          <w:bCs/>
        </w:rPr>
        <w:fldChar w:fldCharType="separate"/>
      </w:r>
      <w:r w:rsidR="00842AE2">
        <w:rPr>
          <w:bCs/>
        </w:rPr>
        <w:t>[6]</w:t>
      </w:r>
      <w:r>
        <w:rPr>
          <w:bCs/>
        </w:rPr>
        <w:fldChar w:fldCharType="end"/>
      </w:r>
      <w:r>
        <w:rPr>
          <w:bCs/>
        </w:rPr>
        <w:t xml:space="preserve"> proposes that link level simulation assumptions are agreed for IoT-NTN, which would aid derivation of more specific results. </w:t>
      </w:r>
    </w:p>
    <w:p w14:paraId="4627539E" w14:textId="77777777" w:rsidR="007030C3" w:rsidRDefault="007030C3" w:rsidP="007030C3">
      <w:pPr>
        <w:rPr>
          <w:bCs/>
        </w:rPr>
      </w:pPr>
      <w:r>
        <w:rPr>
          <w:noProof/>
        </w:rPr>
        <w:drawing>
          <wp:inline distT="0" distB="0" distL="0" distR="0" wp14:anchorId="6F8BD4CF" wp14:editId="6270044E">
            <wp:extent cx="5916296" cy="33451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916296" cy="3345180"/>
                    </a:xfrm>
                    <a:prstGeom prst="rect">
                      <a:avLst/>
                    </a:prstGeom>
                  </pic:spPr>
                </pic:pic>
              </a:graphicData>
            </a:graphic>
          </wp:inline>
        </w:drawing>
      </w:r>
    </w:p>
    <w:p w14:paraId="6DBFBB92" w14:textId="4BE3E932" w:rsidR="007030C3" w:rsidRPr="00671FA9" w:rsidRDefault="007030C3" w:rsidP="007030C3">
      <w:pPr>
        <w:pStyle w:val="Caption"/>
      </w:pPr>
      <w:bookmarkStart w:id="2" w:name="_Ref61902510"/>
      <w:r>
        <w:t xml:space="preserve">Figure </w:t>
      </w:r>
      <w:fldSimple w:instr=" SEQ Figure \* ARABIC ">
        <w:r w:rsidR="00C72656">
          <w:rPr>
            <w:noProof/>
          </w:rPr>
          <w:t>1</w:t>
        </w:r>
      </w:fldSimple>
      <w:bookmarkEnd w:id="2"/>
      <w:r>
        <w:t xml:space="preserve"> - PUSCH data rate vs SNR (from </w:t>
      </w:r>
      <w:r w:rsidRPr="00AC784A">
        <w:t>Figure 7</w:t>
      </w:r>
      <w:r>
        <w:t xml:space="preserve"> of </w:t>
      </w:r>
      <w:r>
        <w:rPr>
          <w:highlight w:val="yellow"/>
        </w:rPr>
        <w:fldChar w:fldCharType="begin"/>
      </w:r>
      <w:r>
        <w:instrText xml:space="preserve"> REF _Ref54301188 \w \h </w:instrText>
      </w:r>
      <w:r>
        <w:rPr>
          <w:highlight w:val="yellow"/>
        </w:rPr>
      </w:r>
      <w:r>
        <w:rPr>
          <w:highlight w:val="yellow"/>
        </w:rPr>
        <w:fldChar w:fldCharType="separate"/>
      </w:r>
      <w:r w:rsidR="00842AE2">
        <w:t>[5]</w:t>
      </w:r>
      <w:r>
        <w:rPr>
          <w:highlight w:val="yellow"/>
        </w:rPr>
        <w:fldChar w:fldCharType="end"/>
      </w:r>
      <w:r>
        <w:t>)</w:t>
      </w:r>
    </w:p>
    <w:p w14:paraId="0F33C14A" w14:textId="4F8AE064" w:rsidR="007030C3" w:rsidRDefault="007030C3" w:rsidP="00977A3D"/>
    <w:p w14:paraId="35072735" w14:textId="41A8A41D" w:rsidR="0006425E" w:rsidRDefault="0006425E" w:rsidP="0006425E">
      <w:pPr>
        <w:rPr>
          <w:bCs/>
        </w:rPr>
      </w:pPr>
      <w:r>
        <w:rPr>
          <w:bCs/>
        </w:rPr>
        <w:t xml:space="preserve">From </w:t>
      </w:r>
      <w:r>
        <w:rPr>
          <w:bCs/>
        </w:rPr>
        <w:fldChar w:fldCharType="begin"/>
      </w:r>
      <w:r>
        <w:rPr>
          <w:bCs/>
        </w:rPr>
        <w:instrText xml:space="preserve"> REF _Ref61897076 \h </w:instrText>
      </w:r>
      <w:r>
        <w:rPr>
          <w:bCs/>
        </w:rPr>
      </w:r>
      <w:r>
        <w:rPr>
          <w:bCs/>
        </w:rPr>
        <w:fldChar w:fldCharType="separate"/>
      </w:r>
      <w:r w:rsidR="00842AE2">
        <w:t xml:space="preserve">Table </w:t>
      </w:r>
      <w:r w:rsidR="00842AE2">
        <w:rPr>
          <w:noProof/>
        </w:rPr>
        <w:t>1</w:t>
      </w:r>
      <w:r>
        <w:rPr>
          <w:bCs/>
        </w:rPr>
        <w:fldChar w:fldCharType="end"/>
      </w:r>
      <w:r>
        <w:rPr>
          <w:bCs/>
        </w:rPr>
        <w:t xml:space="preserve">, it is apparent that the </w:t>
      </w:r>
      <w:proofErr w:type="spellStart"/>
      <w:r>
        <w:rPr>
          <w:bCs/>
        </w:rPr>
        <w:t>eMTC</w:t>
      </w:r>
      <w:proofErr w:type="spellEnd"/>
      <w:r>
        <w:rPr>
          <w:bCs/>
        </w:rPr>
        <w:t xml:space="preserve"> or NB-IoT links would be operating with significant amounts of coverage extension in order to satisfy the IoT-NTN link budget. </w:t>
      </w:r>
    </w:p>
    <w:p w14:paraId="3AD402C6" w14:textId="7C7290AB" w:rsidR="0006425E" w:rsidRPr="0006425E" w:rsidRDefault="0006425E" w:rsidP="0006425E">
      <w:pPr>
        <w:rPr>
          <w:b/>
        </w:rPr>
      </w:pPr>
      <w:r w:rsidRPr="0006425E">
        <w:rPr>
          <w:b/>
        </w:rPr>
        <w:t xml:space="preserve">Observation </w:t>
      </w:r>
      <w:r w:rsidR="00BF7053">
        <w:rPr>
          <w:b/>
        </w:rPr>
        <w:t>1</w:t>
      </w:r>
      <w:r w:rsidRPr="0006425E">
        <w:rPr>
          <w:b/>
        </w:rPr>
        <w:t xml:space="preserve">. Significant amounts of coverage enhancement are required to operate </w:t>
      </w:r>
      <w:proofErr w:type="spellStart"/>
      <w:r w:rsidRPr="0006425E">
        <w:rPr>
          <w:b/>
        </w:rPr>
        <w:t>eMTC</w:t>
      </w:r>
      <w:proofErr w:type="spellEnd"/>
      <w:r w:rsidRPr="0006425E">
        <w:rPr>
          <w:b/>
        </w:rPr>
        <w:t xml:space="preserve"> and NB-IoT in IoT-NTN constellations.</w:t>
      </w:r>
    </w:p>
    <w:p w14:paraId="66E40081" w14:textId="6F216684" w:rsidR="0006425E" w:rsidRDefault="0006425E" w:rsidP="0006425E">
      <w:pPr>
        <w:rPr>
          <w:b/>
        </w:rPr>
      </w:pPr>
      <w:r w:rsidRPr="0006425E">
        <w:rPr>
          <w:b/>
        </w:rPr>
        <w:t xml:space="preserve">Observation </w:t>
      </w:r>
      <w:r w:rsidR="00BF7053">
        <w:rPr>
          <w:b/>
        </w:rPr>
        <w:t>2</w:t>
      </w:r>
      <w:r w:rsidRPr="0006425E">
        <w:rPr>
          <w:b/>
        </w:rPr>
        <w:t xml:space="preserve">. </w:t>
      </w:r>
      <w:r>
        <w:rPr>
          <w:b/>
        </w:rPr>
        <w:t xml:space="preserve">The </w:t>
      </w:r>
      <w:proofErr w:type="spellStart"/>
      <w:r>
        <w:rPr>
          <w:b/>
        </w:rPr>
        <w:t>eMTC</w:t>
      </w:r>
      <w:proofErr w:type="spellEnd"/>
      <w:r>
        <w:rPr>
          <w:b/>
        </w:rPr>
        <w:t xml:space="preserve"> UL </w:t>
      </w:r>
      <w:r w:rsidRPr="00AC784A">
        <w:rPr>
          <w:b/>
        </w:rPr>
        <w:t>needs to operate in CE Mode B in order to support NTN</w:t>
      </w:r>
      <w:r w:rsidRPr="0006425E">
        <w:rPr>
          <w:b/>
        </w:rPr>
        <w:t>.</w:t>
      </w:r>
    </w:p>
    <w:p w14:paraId="176F8B4C" w14:textId="5591C11B" w:rsidR="00075AED" w:rsidRDefault="00075AED" w:rsidP="00075AED">
      <w:pPr>
        <w:rPr>
          <w:b/>
        </w:rPr>
      </w:pPr>
      <w:r w:rsidRPr="0006425E">
        <w:rPr>
          <w:b/>
        </w:rPr>
        <w:t xml:space="preserve">Observation </w:t>
      </w:r>
      <w:r w:rsidR="00BF7053">
        <w:rPr>
          <w:b/>
        </w:rPr>
        <w:t>3</w:t>
      </w:r>
      <w:r w:rsidRPr="0006425E">
        <w:rPr>
          <w:b/>
        </w:rPr>
        <w:t xml:space="preserve">. </w:t>
      </w:r>
      <w:r>
        <w:rPr>
          <w:b/>
        </w:rPr>
        <w:t xml:space="preserve">A </w:t>
      </w:r>
      <w:proofErr w:type="gramStart"/>
      <w:r>
        <w:rPr>
          <w:b/>
        </w:rPr>
        <w:t>500 bit</w:t>
      </w:r>
      <w:proofErr w:type="gramEnd"/>
      <w:r>
        <w:rPr>
          <w:b/>
        </w:rPr>
        <w:t xml:space="preserve"> transport block is transmitted in approximately 320ms in the UL for either </w:t>
      </w:r>
      <w:proofErr w:type="spellStart"/>
      <w:r>
        <w:rPr>
          <w:b/>
        </w:rPr>
        <w:t>eMTC</w:t>
      </w:r>
      <w:proofErr w:type="spellEnd"/>
      <w:r>
        <w:rPr>
          <w:b/>
        </w:rPr>
        <w:t xml:space="preserve"> or NB-IoT</w:t>
      </w:r>
      <w:r w:rsidRPr="0006425E">
        <w:rPr>
          <w:b/>
        </w:rPr>
        <w:t>.</w:t>
      </w:r>
    </w:p>
    <w:p w14:paraId="2D9BB885" w14:textId="77777777" w:rsidR="00842AE2" w:rsidRDefault="00842AE2" w:rsidP="00075AED">
      <w:pPr>
        <w:rPr>
          <w:b/>
        </w:rPr>
      </w:pPr>
    </w:p>
    <w:p w14:paraId="5A11DE8F" w14:textId="5ECE7EC0" w:rsidR="00842AE2" w:rsidRPr="00094F43" w:rsidRDefault="00AA798A" w:rsidP="00842AE2">
      <w:pPr>
        <w:pStyle w:val="Heading1"/>
        <w:spacing w:after="80"/>
        <w:jc w:val="left"/>
        <w:rPr>
          <w:sz w:val="24"/>
          <w:lang w:eastAsia="zh-CN"/>
        </w:rPr>
      </w:pPr>
      <w:r>
        <w:rPr>
          <w:sz w:val="24"/>
          <w:lang w:eastAsia="zh-CN"/>
        </w:rPr>
        <w:t xml:space="preserve">HARQ cycle </w:t>
      </w:r>
      <w:r w:rsidR="00E41C3D">
        <w:rPr>
          <w:sz w:val="24"/>
          <w:lang w:eastAsia="zh-CN"/>
        </w:rPr>
        <w:t>occupancy</w:t>
      </w:r>
    </w:p>
    <w:p w14:paraId="638F205F" w14:textId="0D666AFD" w:rsidR="00842AE2" w:rsidRDefault="00842AE2" w:rsidP="00842AE2">
      <w:pPr>
        <w:rPr>
          <w:bCs/>
        </w:rPr>
      </w:pPr>
      <w:r>
        <w:rPr>
          <w:bCs/>
        </w:rPr>
        <w:t>This section aims to provide estimates of the sustained data rates that can be supported over IoT-NTN</w:t>
      </w:r>
      <w:r w:rsidR="00E41C3D">
        <w:rPr>
          <w:bCs/>
        </w:rPr>
        <w:t xml:space="preserve"> and the proportion of the HARQ cycle that can be used for data transmission</w:t>
      </w:r>
      <w:r>
        <w:rPr>
          <w:bCs/>
        </w:rPr>
        <w:t xml:space="preserve">. </w:t>
      </w:r>
    </w:p>
    <w:p w14:paraId="04D9C112" w14:textId="38667FE7" w:rsidR="00842AE2" w:rsidRDefault="00842AE2" w:rsidP="00842AE2">
      <w:pPr>
        <w:rPr>
          <w:bCs/>
        </w:rPr>
      </w:pPr>
      <w:r>
        <w:rPr>
          <w:bCs/>
        </w:rPr>
        <w:fldChar w:fldCharType="begin"/>
      </w:r>
      <w:r>
        <w:rPr>
          <w:bCs/>
        </w:rPr>
        <w:instrText xml:space="preserve"> REF _Ref54291293 \h </w:instrText>
      </w:r>
      <w:r>
        <w:rPr>
          <w:bCs/>
        </w:rPr>
      </w:r>
      <w:r>
        <w:rPr>
          <w:bCs/>
        </w:rPr>
        <w:fldChar w:fldCharType="separate"/>
      </w:r>
      <w:r>
        <w:t xml:space="preserve">Table </w:t>
      </w:r>
      <w:r>
        <w:rPr>
          <w:noProof/>
        </w:rPr>
        <w:t>2</w:t>
      </w:r>
      <w:r>
        <w:rPr>
          <w:bCs/>
        </w:rPr>
        <w:fldChar w:fldCharType="end"/>
      </w:r>
      <w:r>
        <w:rPr>
          <w:bCs/>
        </w:rPr>
        <w:t xml:space="preserve"> lists the assumptions used in estimating the data rates that can be supported over NTN for </w:t>
      </w:r>
      <w:proofErr w:type="spellStart"/>
      <w:r>
        <w:rPr>
          <w:bCs/>
        </w:rPr>
        <w:t>eMTC</w:t>
      </w:r>
      <w:proofErr w:type="spellEnd"/>
      <w:r>
        <w:rPr>
          <w:bCs/>
        </w:rPr>
        <w:t>, assuming that HARQ is supported. T</w:t>
      </w:r>
      <w:r w:rsidRPr="00671FA9">
        <w:rPr>
          <w:bCs/>
          <w:vertAlign w:val="subscript"/>
        </w:rPr>
        <w:t>PUSCH</w:t>
      </w:r>
      <w:r>
        <w:rPr>
          <w:bCs/>
        </w:rPr>
        <w:t xml:space="preserve"> is the duration of the PUSCH transmission in milliseconds and accounts for the number of repetitions required to transmit the PUSCH (the transmission times are rounded down based on the lower numbers of repetitions in </w:t>
      </w:r>
      <w:r>
        <w:rPr>
          <w:bCs/>
        </w:rPr>
        <w:fldChar w:fldCharType="begin"/>
      </w:r>
      <w:r>
        <w:rPr>
          <w:bCs/>
        </w:rPr>
        <w:instrText xml:space="preserve"> REF _Ref61897076 \h </w:instrText>
      </w:r>
      <w:r>
        <w:rPr>
          <w:bCs/>
        </w:rPr>
      </w:r>
      <w:r>
        <w:rPr>
          <w:bCs/>
        </w:rPr>
        <w:fldChar w:fldCharType="separate"/>
      </w:r>
      <w:r>
        <w:t xml:space="preserve">Table </w:t>
      </w:r>
      <w:r>
        <w:rPr>
          <w:noProof/>
        </w:rPr>
        <w:t>1</w:t>
      </w:r>
      <w:r>
        <w:rPr>
          <w:bCs/>
        </w:rPr>
        <w:fldChar w:fldCharType="end"/>
      </w:r>
      <w:r>
        <w:rPr>
          <w:bCs/>
        </w:rPr>
        <w:t xml:space="preserve">). The </w:t>
      </w:r>
      <w:proofErr w:type="gramStart"/>
      <w:r>
        <w:rPr>
          <w:bCs/>
        </w:rPr>
        <w:t>round trip</w:t>
      </w:r>
      <w:proofErr w:type="gramEnd"/>
      <w:r>
        <w:rPr>
          <w:bCs/>
        </w:rPr>
        <w:t xml:space="preserve"> times are taken from </w:t>
      </w:r>
      <w:r w:rsidR="00123D5C">
        <w:rPr>
          <w:bCs/>
        </w:rPr>
        <w:t>the agreed scenarios from RAN1#104e</w:t>
      </w:r>
      <w:r>
        <w:rPr>
          <w:bCs/>
        </w:rPr>
        <w:t>.</w:t>
      </w:r>
    </w:p>
    <w:p w14:paraId="30D079E0" w14:textId="3ED7077C" w:rsidR="00842AE2" w:rsidRDefault="00842AE2" w:rsidP="00842AE2">
      <w:pPr>
        <w:pStyle w:val="Caption"/>
      </w:pPr>
      <w:bookmarkStart w:id="3" w:name="_Ref54291293"/>
      <w:r>
        <w:t xml:space="preserve">Table </w:t>
      </w:r>
      <w:fldSimple w:instr=" SEQ Table \* ARABIC ">
        <w:r>
          <w:rPr>
            <w:noProof/>
          </w:rPr>
          <w:t>2</w:t>
        </w:r>
      </w:fldSimple>
      <w:bookmarkEnd w:id="3"/>
      <w:r>
        <w:t xml:space="preserve"> – Assumptions for estimating </w:t>
      </w:r>
      <w:proofErr w:type="spellStart"/>
      <w:r>
        <w:t>eMTC</w:t>
      </w:r>
      <w:proofErr w:type="spellEnd"/>
      <w:r>
        <w:t xml:space="preserve"> sustained data rates when HARQ is applied</w:t>
      </w:r>
    </w:p>
    <w:tbl>
      <w:tblPr>
        <w:tblStyle w:val="TableGrid"/>
        <w:tblW w:w="0" w:type="auto"/>
        <w:jc w:val="center"/>
        <w:tblLook w:val="04A0" w:firstRow="1" w:lastRow="0" w:firstColumn="1" w:lastColumn="0" w:noHBand="0" w:noVBand="1"/>
      </w:tblPr>
      <w:tblGrid>
        <w:gridCol w:w="1536"/>
        <w:gridCol w:w="1321"/>
        <w:gridCol w:w="1612"/>
        <w:gridCol w:w="1613"/>
      </w:tblGrid>
      <w:tr w:rsidR="00123D5C" w14:paraId="3E984D1F" w14:textId="77777777" w:rsidTr="00123D5C">
        <w:trPr>
          <w:jc w:val="center"/>
        </w:trPr>
        <w:tc>
          <w:tcPr>
            <w:tcW w:w="1536" w:type="dxa"/>
            <w:tcBorders>
              <w:top w:val="nil"/>
              <w:left w:val="nil"/>
              <w:right w:val="nil"/>
            </w:tcBorders>
            <w:shd w:val="clear" w:color="auto" w:fill="auto"/>
          </w:tcPr>
          <w:p w14:paraId="48E051E7" w14:textId="77777777" w:rsidR="00123D5C" w:rsidRDefault="00123D5C" w:rsidP="002D7499">
            <w:pPr>
              <w:rPr>
                <w:bCs/>
              </w:rPr>
            </w:pPr>
          </w:p>
        </w:tc>
        <w:tc>
          <w:tcPr>
            <w:tcW w:w="1321" w:type="dxa"/>
            <w:tcBorders>
              <w:top w:val="nil"/>
              <w:left w:val="nil"/>
            </w:tcBorders>
            <w:shd w:val="clear" w:color="auto" w:fill="auto"/>
          </w:tcPr>
          <w:p w14:paraId="60B2E85A" w14:textId="77777777" w:rsidR="00123D5C" w:rsidRDefault="00123D5C" w:rsidP="002D7499">
            <w:pPr>
              <w:rPr>
                <w:bCs/>
              </w:rPr>
            </w:pPr>
          </w:p>
        </w:tc>
        <w:tc>
          <w:tcPr>
            <w:tcW w:w="3225" w:type="dxa"/>
            <w:gridSpan w:val="2"/>
            <w:shd w:val="clear" w:color="auto" w:fill="D9D9D9" w:themeFill="background1" w:themeFillShade="D9"/>
          </w:tcPr>
          <w:p w14:paraId="4A88B1F1" w14:textId="77777777" w:rsidR="00123D5C" w:rsidRPr="00671FA9" w:rsidRDefault="00123D5C" w:rsidP="002D7499">
            <w:pPr>
              <w:rPr>
                <w:b/>
              </w:rPr>
            </w:pPr>
            <w:proofErr w:type="spellStart"/>
            <w:r w:rsidRPr="00671FA9">
              <w:rPr>
                <w:b/>
              </w:rPr>
              <w:t>eMTC</w:t>
            </w:r>
            <w:proofErr w:type="spellEnd"/>
          </w:p>
        </w:tc>
      </w:tr>
      <w:tr w:rsidR="00123D5C" w14:paraId="19C68E3A" w14:textId="77777777" w:rsidTr="00123D5C">
        <w:trPr>
          <w:jc w:val="center"/>
        </w:trPr>
        <w:tc>
          <w:tcPr>
            <w:tcW w:w="1536" w:type="dxa"/>
            <w:shd w:val="clear" w:color="auto" w:fill="D9D9D9" w:themeFill="background1" w:themeFillShade="D9"/>
          </w:tcPr>
          <w:p w14:paraId="73D380CA" w14:textId="77777777" w:rsidR="00123D5C" w:rsidRPr="00671FA9" w:rsidRDefault="00123D5C" w:rsidP="002D7499">
            <w:pPr>
              <w:rPr>
                <w:b/>
              </w:rPr>
            </w:pPr>
            <w:r w:rsidRPr="00671FA9">
              <w:rPr>
                <w:b/>
              </w:rPr>
              <w:t>Constellation</w:t>
            </w:r>
          </w:p>
        </w:tc>
        <w:tc>
          <w:tcPr>
            <w:tcW w:w="1321" w:type="dxa"/>
            <w:shd w:val="clear" w:color="auto" w:fill="D9D9D9" w:themeFill="background1" w:themeFillShade="D9"/>
          </w:tcPr>
          <w:p w14:paraId="1400C01E" w14:textId="77777777" w:rsidR="00123D5C" w:rsidRPr="00671FA9" w:rsidRDefault="00123D5C" w:rsidP="002D7499">
            <w:pPr>
              <w:rPr>
                <w:b/>
              </w:rPr>
            </w:pPr>
            <w:r w:rsidRPr="00671FA9">
              <w:rPr>
                <w:b/>
              </w:rPr>
              <w:t>RTT (</w:t>
            </w:r>
            <w:proofErr w:type="spellStart"/>
            <w:r w:rsidRPr="00671FA9">
              <w:rPr>
                <w:b/>
              </w:rPr>
              <w:t>ms</w:t>
            </w:r>
            <w:proofErr w:type="spellEnd"/>
            <w:r w:rsidRPr="00671FA9">
              <w:rPr>
                <w:b/>
              </w:rPr>
              <w:t>)</w:t>
            </w:r>
          </w:p>
        </w:tc>
        <w:tc>
          <w:tcPr>
            <w:tcW w:w="1612" w:type="dxa"/>
            <w:shd w:val="clear" w:color="auto" w:fill="D9D9D9" w:themeFill="background1" w:themeFillShade="D9"/>
          </w:tcPr>
          <w:p w14:paraId="7BD706C0" w14:textId="77777777" w:rsidR="00123D5C" w:rsidRPr="00671FA9" w:rsidRDefault="00123D5C" w:rsidP="002D7499">
            <w:pPr>
              <w:rPr>
                <w:b/>
              </w:rPr>
            </w:pPr>
            <w:r w:rsidRPr="00671FA9">
              <w:rPr>
                <w:b/>
              </w:rPr>
              <w:t>TBS</w:t>
            </w:r>
          </w:p>
        </w:tc>
        <w:tc>
          <w:tcPr>
            <w:tcW w:w="1613" w:type="dxa"/>
            <w:shd w:val="clear" w:color="auto" w:fill="D9D9D9" w:themeFill="background1" w:themeFillShade="D9"/>
          </w:tcPr>
          <w:p w14:paraId="032AFB60" w14:textId="77777777" w:rsidR="00123D5C" w:rsidRPr="00671FA9" w:rsidRDefault="00123D5C" w:rsidP="002D7499">
            <w:pPr>
              <w:rPr>
                <w:b/>
              </w:rPr>
            </w:pPr>
            <w:r w:rsidRPr="00671FA9">
              <w:rPr>
                <w:b/>
              </w:rPr>
              <w:t>T</w:t>
            </w:r>
            <w:r w:rsidRPr="00671FA9">
              <w:rPr>
                <w:b/>
                <w:vertAlign w:val="subscript"/>
              </w:rPr>
              <w:t>PUSCH</w:t>
            </w:r>
          </w:p>
        </w:tc>
      </w:tr>
      <w:tr w:rsidR="00123D5C" w14:paraId="3553089B" w14:textId="77777777" w:rsidTr="00123D5C">
        <w:trPr>
          <w:jc w:val="center"/>
        </w:trPr>
        <w:tc>
          <w:tcPr>
            <w:tcW w:w="1536" w:type="dxa"/>
          </w:tcPr>
          <w:p w14:paraId="714B0722" w14:textId="77777777" w:rsidR="00123D5C" w:rsidRDefault="00123D5C" w:rsidP="002D7499">
            <w:pPr>
              <w:rPr>
                <w:bCs/>
              </w:rPr>
            </w:pPr>
            <w:r>
              <w:rPr>
                <w:bCs/>
              </w:rPr>
              <w:t>GEO</w:t>
            </w:r>
          </w:p>
        </w:tc>
        <w:tc>
          <w:tcPr>
            <w:tcW w:w="1321" w:type="dxa"/>
          </w:tcPr>
          <w:p w14:paraId="665D88CD" w14:textId="77777777" w:rsidR="00123D5C" w:rsidRDefault="00123D5C" w:rsidP="002D7499">
            <w:pPr>
              <w:rPr>
                <w:bCs/>
              </w:rPr>
            </w:pPr>
            <w:r>
              <w:rPr>
                <w:bCs/>
              </w:rPr>
              <w:t>541.46</w:t>
            </w:r>
          </w:p>
        </w:tc>
        <w:tc>
          <w:tcPr>
            <w:tcW w:w="1612" w:type="dxa"/>
          </w:tcPr>
          <w:p w14:paraId="2D561E94" w14:textId="77777777" w:rsidR="00123D5C" w:rsidRDefault="00123D5C" w:rsidP="002D7499">
            <w:pPr>
              <w:rPr>
                <w:bCs/>
              </w:rPr>
            </w:pPr>
            <w:r>
              <w:rPr>
                <w:bCs/>
              </w:rPr>
              <w:t>504</w:t>
            </w:r>
          </w:p>
        </w:tc>
        <w:tc>
          <w:tcPr>
            <w:tcW w:w="1613" w:type="dxa"/>
          </w:tcPr>
          <w:p w14:paraId="5BDFE224" w14:textId="77777777" w:rsidR="00123D5C" w:rsidRDefault="00123D5C" w:rsidP="002D7499">
            <w:pPr>
              <w:rPr>
                <w:bCs/>
              </w:rPr>
            </w:pPr>
            <w:r>
              <w:rPr>
                <w:bCs/>
              </w:rPr>
              <w:t>256ms</w:t>
            </w:r>
          </w:p>
        </w:tc>
      </w:tr>
      <w:tr w:rsidR="00123D5C" w14:paraId="7BA41882" w14:textId="77777777" w:rsidTr="00123D5C">
        <w:trPr>
          <w:jc w:val="center"/>
        </w:trPr>
        <w:tc>
          <w:tcPr>
            <w:tcW w:w="1536" w:type="dxa"/>
          </w:tcPr>
          <w:p w14:paraId="4D7DEFC9" w14:textId="77777777" w:rsidR="00123D5C" w:rsidRDefault="00123D5C" w:rsidP="002D7499">
            <w:pPr>
              <w:rPr>
                <w:bCs/>
              </w:rPr>
            </w:pPr>
            <w:r>
              <w:rPr>
                <w:bCs/>
              </w:rPr>
              <w:t>LEO-600</w:t>
            </w:r>
          </w:p>
        </w:tc>
        <w:tc>
          <w:tcPr>
            <w:tcW w:w="1321" w:type="dxa"/>
          </w:tcPr>
          <w:p w14:paraId="7364C4D0" w14:textId="77777777" w:rsidR="00123D5C" w:rsidRDefault="00123D5C" w:rsidP="002D7499">
            <w:pPr>
              <w:rPr>
                <w:bCs/>
              </w:rPr>
            </w:pPr>
            <w:r>
              <w:rPr>
                <w:bCs/>
              </w:rPr>
              <w:t>25.77</w:t>
            </w:r>
          </w:p>
        </w:tc>
        <w:tc>
          <w:tcPr>
            <w:tcW w:w="1612" w:type="dxa"/>
          </w:tcPr>
          <w:p w14:paraId="7BDF54BF" w14:textId="77777777" w:rsidR="00123D5C" w:rsidRDefault="00123D5C" w:rsidP="002D7499">
            <w:pPr>
              <w:rPr>
                <w:bCs/>
              </w:rPr>
            </w:pPr>
            <w:r>
              <w:rPr>
                <w:bCs/>
              </w:rPr>
              <w:t>504</w:t>
            </w:r>
          </w:p>
        </w:tc>
        <w:tc>
          <w:tcPr>
            <w:tcW w:w="1613" w:type="dxa"/>
          </w:tcPr>
          <w:p w14:paraId="41C326E3" w14:textId="77777777" w:rsidR="00123D5C" w:rsidRDefault="00123D5C" w:rsidP="002D7499">
            <w:pPr>
              <w:rPr>
                <w:bCs/>
              </w:rPr>
            </w:pPr>
            <w:r>
              <w:rPr>
                <w:bCs/>
              </w:rPr>
              <w:t>128ms</w:t>
            </w:r>
          </w:p>
        </w:tc>
      </w:tr>
      <w:tr w:rsidR="00123D5C" w14:paraId="5D66AE6C" w14:textId="77777777" w:rsidTr="00123D5C">
        <w:trPr>
          <w:jc w:val="center"/>
        </w:trPr>
        <w:tc>
          <w:tcPr>
            <w:tcW w:w="1536" w:type="dxa"/>
          </w:tcPr>
          <w:p w14:paraId="614D323A" w14:textId="77777777" w:rsidR="00123D5C" w:rsidRDefault="00123D5C" w:rsidP="002D7499">
            <w:pPr>
              <w:rPr>
                <w:bCs/>
              </w:rPr>
            </w:pPr>
            <w:r>
              <w:rPr>
                <w:bCs/>
              </w:rPr>
              <w:t>LEO-1200</w:t>
            </w:r>
          </w:p>
        </w:tc>
        <w:tc>
          <w:tcPr>
            <w:tcW w:w="1321" w:type="dxa"/>
          </w:tcPr>
          <w:p w14:paraId="698CD6C6" w14:textId="77777777" w:rsidR="00123D5C" w:rsidRDefault="00123D5C" w:rsidP="002D7499">
            <w:pPr>
              <w:rPr>
                <w:bCs/>
              </w:rPr>
            </w:pPr>
            <w:r>
              <w:rPr>
                <w:bCs/>
              </w:rPr>
              <w:t>41.77</w:t>
            </w:r>
          </w:p>
        </w:tc>
        <w:tc>
          <w:tcPr>
            <w:tcW w:w="1612" w:type="dxa"/>
          </w:tcPr>
          <w:p w14:paraId="5B1865DC" w14:textId="77777777" w:rsidR="00123D5C" w:rsidRDefault="00123D5C" w:rsidP="002D7499">
            <w:pPr>
              <w:rPr>
                <w:bCs/>
              </w:rPr>
            </w:pPr>
            <w:r>
              <w:rPr>
                <w:bCs/>
              </w:rPr>
              <w:t>504</w:t>
            </w:r>
          </w:p>
        </w:tc>
        <w:tc>
          <w:tcPr>
            <w:tcW w:w="1613" w:type="dxa"/>
          </w:tcPr>
          <w:p w14:paraId="52089365" w14:textId="77777777" w:rsidR="00123D5C" w:rsidRDefault="00123D5C" w:rsidP="002D7499">
            <w:pPr>
              <w:rPr>
                <w:bCs/>
              </w:rPr>
            </w:pPr>
            <w:r>
              <w:rPr>
                <w:bCs/>
              </w:rPr>
              <w:t>1024ms</w:t>
            </w:r>
          </w:p>
        </w:tc>
      </w:tr>
    </w:tbl>
    <w:p w14:paraId="473E48D0" w14:textId="77777777" w:rsidR="00842AE2" w:rsidRDefault="00842AE2" w:rsidP="00842AE2">
      <w:pPr>
        <w:rPr>
          <w:bCs/>
        </w:rPr>
      </w:pPr>
    </w:p>
    <w:p w14:paraId="3B7C3CC3" w14:textId="28B54332" w:rsidR="00842AE2" w:rsidRDefault="00842AE2" w:rsidP="00842AE2">
      <w:pPr>
        <w:rPr>
          <w:bCs/>
        </w:rPr>
      </w:pPr>
      <w:r>
        <w:rPr>
          <w:bCs/>
        </w:rPr>
        <w:fldChar w:fldCharType="begin"/>
      </w:r>
      <w:r>
        <w:rPr>
          <w:bCs/>
        </w:rPr>
        <w:instrText xml:space="preserve"> REF _Ref54291207 \h </w:instrText>
      </w:r>
      <w:r>
        <w:rPr>
          <w:bCs/>
        </w:rPr>
      </w:r>
      <w:r>
        <w:rPr>
          <w:bCs/>
        </w:rPr>
        <w:fldChar w:fldCharType="separate"/>
      </w:r>
      <w:r>
        <w:t xml:space="preserve">Figure </w:t>
      </w:r>
      <w:r>
        <w:rPr>
          <w:noProof/>
        </w:rPr>
        <w:t>2</w:t>
      </w:r>
      <w:r>
        <w:rPr>
          <w:bCs/>
        </w:rPr>
        <w:fldChar w:fldCharType="end"/>
      </w:r>
      <w:r>
        <w:rPr>
          <w:bCs/>
        </w:rPr>
        <w:t xml:space="preserve"> shows an example HARQ cycle for </w:t>
      </w:r>
      <w:proofErr w:type="spellStart"/>
      <w:r>
        <w:rPr>
          <w:bCs/>
        </w:rPr>
        <w:t>eMTC</w:t>
      </w:r>
      <w:proofErr w:type="spellEnd"/>
      <w:r>
        <w:rPr>
          <w:bCs/>
        </w:rPr>
        <w:t xml:space="preserve"> operation over GEO. 2 HARQ processes are assumed as the UE is operating in CE Mode B. The times to transmit the PUSCH are taken from </w:t>
      </w:r>
      <w:r>
        <w:rPr>
          <w:bCs/>
        </w:rPr>
        <w:fldChar w:fldCharType="begin"/>
      </w:r>
      <w:r>
        <w:rPr>
          <w:bCs/>
        </w:rPr>
        <w:instrText xml:space="preserve"> REF _Ref54291293 \h </w:instrText>
      </w:r>
      <w:r>
        <w:rPr>
          <w:bCs/>
        </w:rPr>
      </w:r>
      <w:r>
        <w:rPr>
          <w:bCs/>
        </w:rPr>
        <w:fldChar w:fldCharType="separate"/>
      </w:r>
      <w:r>
        <w:t xml:space="preserve">Table </w:t>
      </w:r>
      <w:r>
        <w:rPr>
          <w:noProof/>
        </w:rPr>
        <w:t>2</w:t>
      </w:r>
      <w:r>
        <w:rPr>
          <w:bCs/>
        </w:rPr>
        <w:fldChar w:fldCharType="end"/>
      </w:r>
      <w:r>
        <w:rPr>
          <w:bCs/>
        </w:rPr>
        <w:t xml:space="preserve">. It is assumed that a negligible number of repetitions is required to transmit MPDCCH (the SNR available for MPDCCH is comparatively high). The assumptions on MPDCCH processing time and </w:t>
      </w:r>
      <w:proofErr w:type="spellStart"/>
      <w:r>
        <w:rPr>
          <w:bCs/>
        </w:rPr>
        <w:t>gNB</w:t>
      </w:r>
      <w:proofErr w:type="spellEnd"/>
      <w:r>
        <w:rPr>
          <w:bCs/>
        </w:rPr>
        <w:t xml:space="preserve"> processing and scheduling times are according to the usual assumptions for Rel-13 -&gt; Rel-16 </w:t>
      </w:r>
      <w:proofErr w:type="spellStart"/>
      <w:r>
        <w:rPr>
          <w:bCs/>
        </w:rPr>
        <w:t>eMTC</w:t>
      </w:r>
      <w:proofErr w:type="spellEnd"/>
      <w:r>
        <w:rPr>
          <w:bCs/>
        </w:rPr>
        <w:t xml:space="preserve">. Based on the HARQ cycle time illustrated in </w:t>
      </w:r>
      <w:r>
        <w:rPr>
          <w:bCs/>
        </w:rPr>
        <w:fldChar w:fldCharType="begin"/>
      </w:r>
      <w:r>
        <w:rPr>
          <w:bCs/>
        </w:rPr>
        <w:instrText xml:space="preserve"> REF _Ref54291207 \h </w:instrText>
      </w:r>
      <w:r>
        <w:rPr>
          <w:bCs/>
        </w:rPr>
      </w:r>
      <w:r>
        <w:rPr>
          <w:bCs/>
        </w:rPr>
        <w:fldChar w:fldCharType="separate"/>
      </w:r>
      <w:r>
        <w:t xml:space="preserve">Figure </w:t>
      </w:r>
      <w:r>
        <w:rPr>
          <w:noProof/>
        </w:rPr>
        <w:t>2</w:t>
      </w:r>
      <w:r>
        <w:rPr>
          <w:bCs/>
        </w:rPr>
        <w:fldChar w:fldCharType="end"/>
      </w:r>
      <w:r w:rsidR="00EF4531">
        <w:rPr>
          <w:bCs/>
        </w:rPr>
        <w:t xml:space="preserve"> (806ms)</w:t>
      </w:r>
      <w:r>
        <w:rPr>
          <w:bCs/>
        </w:rPr>
        <w:t xml:space="preserve">, the IoT-NTN link over GEO supports a data rate of </w:t>
      </w:r>
      <w:r w:rsidR="00EF4531">
        <w:rPr>
          <w:bCs/>
        </w:rPr>
        <w:t>1250</w:t>
      </w:r>
      <w:r>
        <w:rPr>
          <w:bCs/>
        </w:rPr>
        <w:t xml:space="preserve">bps. </w:t>
      </w:r>
      <w:r w:rsidR="00EF4531">
        <w:rPr>
          <w:bCs/>
        </w:rPr>
        <w:t>63% of the HARQ cycle time (512ms out of 806ms) is occupied by PUSCH transmissions for the GEO scenario with 2 HARQ processes.</w:t>
      </w:r>
    </w:p>
    <w:p w14:paraId="2833DF94" w14:textId="77777777" w:rsidR="00842AE2" w:rsidRDefault="00842AE2" w:rsidP="00842AE2">
      <w:pPr>
        <w:rPr>
          <w:bCs/>
        </w:rPr>
      </w:pPr>
    </w:p>
    <w:p w14:paraId="69150954" w14:textId="02DEDB40" w:rsidR="00842AE2" w:rsidRDefault="00EF4531" w:rsidP="00842AE2">
      <w:pPr>
        <w:rPr>
          <w:bCs/>
        </w:rPr>
      </w:pPr>
      <w:r>
        <w:rPr>
          <w:bCs/>
          <w:noProof/>
        </w:rPr>
        <w:lastRenderedPageBreak/>
        <w:drawing>
          <wp:inline distT="0" distB="0" distL="0" distR="0" wp14:anchorId="4A57A72B" wp14:editId="4F49CCD3">
            <wp:extent cx="5222321" cy="23977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4045" cy="2403143"/>
                    </a:xfrm>
                    <a:prstGeom prst="rect">
                      <a:avLst/>
                    </a:prstGeom>
                    <a:noFill/>
                  </pic:spPr>
                </pic:pic>
              </a:graphicData>
            </a:graphic>
          </wp:inline>
        </w:drawing>
      </w:r>
    </w:p>
    <w:p w14:paraId="6713D02D" w14:textId="4BB7BA7B" w:rsidR="00842AE2" w:rsidRDefault="00842AE2" w:rsidP="00842AE2">
      <w:pPr>
        <w:pStyle w:val="Caption"/>
      </w:pPr>
      <w:bookmarkStart w:id="4" w:name="_Ref54291207"/>
      <w:r>
        <w:t xml:space="preserve">Figure </w:t>
      </w:r>
      <w:fldSimple w:instr=" SEQ Figure \* ARABIC ">
        <w:r w:rsidR="00C72656">
          <w:rPr>
            <w:noProof/>
          </w:rPr>
          <w:t>2</w:t>
        </w:r>
      </w:fldSimple>
      <w:bookmarkEnd w:id="4"/>
      <w:r>
        <w:t xml:space="preserve"> – Example HARQ cycle for </w:t>
      </w:r>
      <w:proofErr w:type="spellStart"/>
      <w:r>
        <w:t>eMTC</w:t>
      </w:r>
      <w:proofErr w:type="spellEnd"/>
      <w:r>
        <w:t xml:space="preserve"> HARQ operation over GEO</w:t>
      </w:r>
    </w:p>
    <w:p w14:paraId="0511B289" w14:textId="77777777" w:rsidR="00EF4531" w:rsidRDefault="00EF4531" w:rsidP="00842AE2"/>
    <w:p w14:paraId="00CAE41A" w14:textId="77777777" w:rsidR="00EF4531" w:rsidRDefault="00EF4531" w:rsidP="00842AE2"/>
    <w:p w14:paraId="6D85789A" w14:textId="3BCCF0A2" w:rsidR="00EF4531" w:rsidRDefault="00EF4531" w:rsidP="00EF4531">
      <w:pPr>
        <w:rPr>
          <w:b/>
          <w:bCs/>
        </w:rPr>
      </w:pPr>
      <w:r w:rsidRPr="00671FA9">
        <w:rPr>
          <w:b/>
          <w:bCs/>
        </w:rPr>
        <w:t>Observation</w:t>
      </w:r>
      <w:r>
        <w:rPr>
          <w:b/>
          <w:bCs/>
        </w:rPr>
        <w:t xml:space="preserve"> </w:t>
      </w:r>
      <w:r w:rsidR="00BF7053">
        <w:rPr>
          <w:b/>
          <w:bCs/>
        </w:rPr>
        <w:t>4</w:t>
      </w:r>
      <w:r w:rsidRPr="00671FA9">
        <w:rPr>
          <w:b/>
          <w:bCs/>
        </w:rPr>
        <w:t xml:space="preserve">: </w:t>
      </w:r>
      <w:r>
        <w:rPr>
          <w:b/>
          <w:bCs/>
        </w:rPr>
        <w:t xml:space="preserve">For GEO, 63% </w:t>
      </w:r>
      <w:r w:rsidR="00B04231">
        <w:rPr>
          <w:b/>
          <w:bCs/>
        </w:rPr>
        <w:t xml:space="preserve">(512ms out of 806ms) </w:t>
      </w:r>
      <w:r>
        <w:rPr>
          <w:b/>
          <w:bCs/>
        </w:rPr>
        <w:t>of the HARQ</w:t>
      </w:r>
      <w:r w:rsidR="00B04231">
        <w:rPr>
          <w:b/>
          <w:bCs/>
        </w:rPr>
        <w:t xml:space="preserve"> cycle time is occupied by active PUSCH transmissions</w:t>
      </w:r>
      <w:r w:rsidR="005F21FE">
        <w:rPr>
          <w:b/>
          <w:bCs/>
        </w:rPr>
        <w:t xml:space="preserve"> when 2 HARQ processes are active</w:t>
      </w:r>
      <w:r w:rsidRPr="00671FA9">
        <w:rPr>
          <w:b/>
          <w:bCs/>
        </w:rPr>
        <w:t>.</w:t>
      </w:r>
    </w:p>
    <w:p w14:paraId="07A94A2A" w14:textId="7AFB9356" w:rsidR="005F21FE" w:rsidRPr="005F21FE" w:rsidRDefault="005F21FE" w:rsidP="00EF4531">
      <w:r>
        <w:t xml:space="preserve">If more than 2 HARQ processes were supported in CE Mode B, the UE could be transmitting PUSCH during the </w:t>
      </w:r>
      <w:proofErr w:type="gramStart"/>
      <w:r>
        <w:t>round trip</w:t>
      </w:r>
      <w:proofErr w:type="gramEnd"/>
      <w:r>
        <w:t xml:space="preserve"> time, increasing the sustained data rate. However, changing CE Mode B to support more than 2 HARQ process would have significant specification impact.</w:t>
      </w:r>
    </w:p>
    <w:p w14:paraId="0BF4E106" w14:textId="706DD60A" w:rsidR="00B04231" w:rsidRPr="00671FA9" w:rsidRDefault="00E41C3D" w:rsidP="00EF4531">
      <w:pPr>
        <w:rPr>
          <w:b/>
          <w:bCs/>
        </w:rPr>
      </w:pPr>
      <w:r>
        <w:rPr>
          <w:bCs/>
        </w:rPr>
        <w:fldChar w:fldCharType="begin"/>
      </w:r>
      <w:r>
        <w:rPr>
          <w:bCs/>
        </w:rPr>
        <w:instrText xml:space="preserve"> REF _Ref61928327 \h </w:instrText>
      </w:r>
      <w:r>
        <w:rPr>
          <w:bCs/>
        </w:rPr>
      </w:r>
      <w:r>
        <w:rPr>
          <w:bCs/>
        </w:rPr>
        <w:fldChar w:fldCharType="separate"/>
      </w:r>
      <w:r>
        <w:t xml:space="preserve">Figure </w:t>
      </w:r>
      <w:r>
        <w:rPr>
          <w:noProof/>
        </w:rPr>
        <w:t>3</w:t>
      </w:r>
      <w:r>
        <w:rPr>
          <w:bCs/>
        </w:rPr>
        <w:fldChar w:fldCharType="end"/>
      </w:r>
      <w:r w:rsidR="005F21FE">
        <w:rPr>
          <w:bCs/>
        </w:rPr>
        <w:t xml:space="preserve"> shows an example HARQ cycle for </w:t>
      </w:r>
      <w:proofErr w:type="spellStart"/>
      <w:r w:rsidR="005F21FE">
        <w:rPr>
          <w:bCs/>
        </w:rPr>
        <w:t>eMTC</w:t>
      </w:r>
      <w:proofErr w:type="spellEnd"/>
      <w:r w:rsidR="005F21FE">
        <w:rPr>
          <w:bCs/>
        </w:rPr>
        <w:t xml:space="preserve"> operation over LEO-600. The figure shows that the </w:t>
      </w:r>
      <w:proofErr w:type="gramStart"/>
      <w:r w:rsidR="005F21FE">
        <w:rPr>
          <w:bCs/>
        </w:rPr>
        <w:t>round trip</w:t>
      </w:r>
      <w:proofErr w:type="gramEnd"/>
      <w:r w:rsidR="005F21FE">
        <w:rPr>
          <w:bCs/>
        </w:rPr>
        <w:t xml:space="preserve"> time occurs wholly within the transmission time of a PUSCH and hence the UE processing pipeline can be fully loaded in a LEO-600 constellation. A similar conclusion applies for LEO-1200.  </w:t>
      </w:r>
    </w:p>
    <w:p w14:paraId="6CA1E8D2" w14:textId="77777777" w:rsidR="00EF4531" w:rsidRDefault="00EF4531" w:rsidP="00842AE2"/>
    <w:p w14:paraId="7A8C2572" w14:textId="569E5A0C" w:rsidR="00EF4531" w:rsidRDefault="00B04231" w:rsidP="00B04231">
      <w:pPr>
        <w:jc w:val="center"/>
      </w:pPr>
      <w:r>
        <w:rPr>
          <w:noProof/>
        </w:rPr>
        <w:drawing>
          <wp:inline distT="0" distB="0" distL="0" distR="0" wp14:anchorId="45D5711F" wp14:editId="2E102B21">
            <wp:extent cx="3789045" cy="2324018"/>
            <wp:effectExtent l="0" t="0" r="190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9563" cy="2355003"/>
                    </a:xfrm>
                    <a:prstGeom prst="rect">
                      <a:avLst/>
                    </a:prstGeom>
                    <a:noFill/>
                  </pic:spPr>
                </pic:pic>
              </a:graphicData>
            </a:graphic>
          </wp:inline>
        </w:drawing>
      </w:r>
    </w:p>
    <w:p w14:paraId="5E6E095A" w14:textId="60F208AE" w:rsidR="00B04231" w:rsidRDefault="00B04231" w:rsidP="00B04231">
      <w:pPr>
        <w:pStyle w:val="Caption"/>
      </w:pPr>
      <w:bookmarkStart w:id="5" w:name="_Ref61928327"/>
      <w:r>
        <w:t xml:space="preserve">Figure </w:t>
      </w:r>
      <w:r w:rsidR="00291A6A">
        <w:fldChar w:fldCharType="begin"/>
      </w:r>
      <w:r w:rsidR="00291A6A">
        <w:instrText xml:space="preserve"> SEQ Figure \* ARABIC </w:instrText>
      </w:r>
      <w:r w:rsidR="00291A6A">
        <w:fldChar w:fldCharType="separate"/>
      </w:r>
      <w:r w:rsidR="00C72656">
        <w:rPr>
          <w:noProof/>
        </w:rPr>
        <w:t>3</w:t>
      </w:r>
      <w:r w:rsidR="00291A6A">
        <w:rPr>
          <w:noProof/>
        </w:rPr>
        <w:fldChar w:fldCharType="end"/>
      </w:r>
      <w:bookmarkEnd w:id="5"/>
      <w:r>
        <w:t xml:space="preserve"> - Example HARQ cycle for </w:t>
      </w:r>
      <w:proofErr w:type="spellStart"/>
      <w:r>
        <w:t>eMTC</w:t>
      </w:r>
      <w:proofErr w:type="spellEnd"/>
      <w:r>
        <w:t xml:space="preserve"> HARQ operation over LEO</w:t>
      </w:r>
      <w:r w:rsidR="005F21FE">
        <w:t>-600</w:t>
      </w:r>
    </w:p>
    <w:p w14:paraId="28C6268E" w14:textId="184DBBA0" w:rsidR="005F21FE" w:rsidRDefault="005F21FE" w:rsidP="00842AE2"/>
    <w:p w14:paraId="68B9B4E8" w14:textId="7024E80D" w:rsidR="005F21FE" w:rsidRDefault="005F21FE" w:rsidP="005F21FE">
      <w:pPr>
        <w:rPr>
          <w:b/>
          <w:bCs/>
        </w:rPr>
      </w:pPr>
      <w:r w:rsidRPr="00671FA9">
        <w:rPr>
          <w:b/>
          <w:bCs/>
        </w:rPr>
        <w:t>Observation</w:t>
      </w:r>
      <w:r>
        <w:rPr>
          <w:b/>
          <w:bCs/>
        </w:rPr>
        <w:t xml:space="preserve"> </w:t>
      </w:r>
      <w:r w:rsidR="00BF7053">
        <w:rPr>
          <w:b/>
          <w:bCs/>
        </w:rPr>
        <w:t>5</w:t>
      </w:r>
      <w:r w:rsidRPr="00671FA9">
        <w:rPr>
          <w:b/>
          <w:bCs/>
        </w:rPr>
        <w:t xml:space="preserve">: </w:t>
      </w:r>
      <w:r>
        <w:rPr>
          <w:b/>
          <w:bCs/>
        </w:rPr>
        <w:t>For LEO constellations, the UE processing pipeline can be fully loaded with active PUSCH transmissions when 2 HARQ processes are active</w:t>
      </w:r>
      <w:r w:rsidRPr="00671FA9">
        <w:rPr>
          <w:b/>
          <w:bCs/>
        </w:rPr>
        <w:t>.</w:t>
      </w:r>
    </w:p>
    <w:p w14:paraId="7BCFBEDF" w14:textId="77777777" w:rsidR="00AA798A" w:rsidRDefault="00AA798A" w:rsidP="005F21FE">
      <w:pPr>
        <w:rPr>
          <w:b/>
          <w:bCs/>
        </w:rPr>
      </w:pPr>
    </w:p>
    <w:p w14:paraId="7AB3BC21" w14:textId="50F17299" w:rsidR="00AA798A" w:rsidRPr="00094F43" w:rsidRDefault="00AA798A" w:rsidP="00AA798A">
      <w:pPr>
        <w:pStyle w:val="Heading1"/>
        <w:spacing w:after="80"/>
        <w:jc w:val="left"/>
        <w:rPr>
          <w:sz w:val="24"/>
          <w:lang w:eastAsia="zh-CN"/>
        </w:rPr>
      </w:pPr>
      <w:r>
        <w:rPr>
          <w:sz w:val="24"/>
          <w:lang w:eastAsia="zh-CN"/>
        </w:rPr>
        <w:lastRenderedPageBreak/>
        <w:t>Power consumption during HARQ cycle</w:t>
      </w:r>
    </w:p>
    <w:p w14:paraId="46472EF9" w14:textId="5DF26D97" w:rsidR="00AA798A" w:rsidRDefault="00AA798A" w:rsidP="005F21FE">
      <w:pPr>
        <w:rPr>
          <w:bCs/>
        </w:rPr>
      </w:pPr>
      <w:r>
        <w:rPr>
          <w:bCs/>
        </w:rPr>
        <w:fldChar w:fldCharType="begin"/>
      </w:r>
      <w:r>
        <w:rPr>
          <w:b/>
          <w:bCs/>
        </w:rPr>
        <w:instrText xml:space="preserve"> REF _Ref54291207 \h </w:instrText>
      </w:r>
      <w:r>
        <w:rPr>
          <w:bCs/>
        </w:rPr>
      </w:r>
      <w:r>
        <w:rPr>
          <w:bCs/>
        </w:rPr>
        <w:fldChar w:fldCharType="separate"/>
      </w:r>
      <w:r>
        <w:t xml:space="preserve">Figure </w:t>
      </w:r>
      <w:r>
        <w:rPr>
          <w:noProof/>
        </w:rPr>
        <w:t>2</w:t>
      </w:r>
      <w:r>
        <w:rPr>
          <w:bCs/>
        </w:rPr>
        <w:fldChar w:fldCharType="end"/>
      </w:r>
      <w:r>
        <w:rPr>
          <w:bCs/>
        </w:rPr>
        <w:t xml:space="preserve"> shows that for a GEO deployment there are portions of the HARQ cycle in which the UE cannot be scheduled with UL data since there are no available free HARQ processes in the UE. However, the UE needs to monitor MPDCCH during this time period just in case it is going to be scheduled (e.g. with an MPDCCH signaling a DL grant, even though this is unlikely). The requirement to monitor MPDCCH, even though the UE is unlikely to be scheduled, leads to unnecessary and wasteful UE power consumption.</w:t>
      </w:r>
    </w:p>
    <w:p w14:paraId="06E2438C" w14:textId="77777777" w:rsidR="00BF7053" w:rsidRDefault="00C72656" w:rsidP="005F21FE">
      <w:pPr>
        <w:rPr>
          <w:bCs/>
        </w:rPr>
      </w:pPr>
      <w:r>
        <w:rPr>
          <w:bCs/>
        </w:rPr>
        <w:t xml:space="preserve">This issue is illustrated in </w:t>
      </w:r>
      <w:r>
        <w:rPr>
          <w:bCs/>
        </w:rPr>
        <w:fldChar w:fldCharType="begin"/>
      </w:r>
      <w:r>
        <w:rPr>
          <w:bCs/>
        </w:rPr>
        <w:instrText xml:space="preserve"> REF _Ref61904818 \h </w:instrText>
      </w:r>
      <w:r>
        <w:rPr>
          <w:bCs/>
        </w:rPr>
      </w:r>
      <w:r>
        <w:rPr>
          <w:bCs/>
        </w:rPr>
        <w:fldChar w:fldCharType="separate"/>
      </w:r>
      <w:r>
        <w:t xml:space="preserve">Figure </w:t>
      </w:r>
      <w:r>
        <w:rPr>
          <w:noProof/>
        </w:rPr>
        <w:t>4</w:t>
      </w:r>
      <w:r>
        <w:rPr>
          <w:bCs/>
        </w:rPr>
        <w:fldChar w:fldCharType="end"/>
      </w:r>
      <w:r>
        <w:rPr>
          <w:bCs/>
        </w:rPr>
        <w:t xml:space="preserve">. The figure shows the same GEO scenario as is shown in </w:t>
      </w:r>
      <w:r>
        <w:rPr>
          <w:bCs/>
        </w:rPr>
        <w:fldChar w:fldCharType="begin"/>
      </w:r>
      <w:r>
        <w:rPr>
          <w:b/>
          <w:bCs/>
        </w:rPr>
        <w:instrText xml:space="preserve"> REF _Ref54291207 \h </w:instrText>
      </w:r>
      <w:r>
        <w:rPr>
          <w:bCs/>
        </w:rPr>
      </w:r>
      <w:r>
        <w:rPr>
          <w:bCs/>
        </w:rPr>
        <w:fldChar w:fldCharType="separate"/>
      </w:r>
      <w:r>
        <w:t xml:space="preserve">Figure </w:t>
      </w:r>
      <w:r>
        <w:rPr>
          <w:noProof/>
        </w:rPr>
        <w:t>2</w:t>
      </w:r>
      <w:r>
        <w:rPr>
          <w:bCs/>
        </w:rPr>
        <w:fldChar w:fldCharType="end"/>
      </w:r>
      <w:r>
        <w:rPr>
          <w:bCs/>
        </w:rPr>
        <w:t xml:space="preserve">, but this figure also shows a power consumption profile for the UE. The figure shows that, having transmitted 2 PUSCH in the UL, the UE cannot be scheduled with further PUSCH until a time equal to the RTT has elapsed since the end of the first PUSCH. However, the UE needs to monitor MPDCCH during this time just in case it is scheduled. While the UE could be scheduled with a DL grant during this time, such scheduling is unlikely as </w:t>
      </w:r>
      <w:r w:rsidR="00BF7053">
        <w:rPr>
          <w:bCs/>
        </w:rPr>
        <w:t>such a DL transmission</w:t>
      </w:r>
      <w:r>
        <w:rPr>
          <w:bCs/>
        </w:rPr>
        <w:t xml:space="preserve"> would not be in response to the UL data that is being transmitted to the </w:t>
      </w:r>
      <w:proofErr w:type="spellStart"/>
      <w:r>
        <w:rPr>
          <w:bCs/>
        </w:rPr>
        <w:t>eNB</w:t>
      </w:r>
      <w:proofErr w:type="spellEnd"/>
      <w:r>
        <w:rPr>
          <w:bCs/>
        </w:rPr>
        <w:t xml:space="preserve"> in the </w:t>
      </w:r>
      <w:r w:rsidR="00BF7053">
        <w:rPr>
          <w:bCs/>
        </w:rPr>
        <w:t xml:space="preserve">earlier </w:t>
      </w:r>
      <w:r>
        <w:rPr>
          <w:bCs/>
        </w:rPr>
        <w:t xml:space="preserve">PUSCH </w:t>
      </w:r>
      <w:r w:rsidR="00BF7053">
        <w:rPr>
          <w:bCs/>
        </w:rPr>
        <w:t xml:space="preserve">(that PUSCH has not yet been received by the </w:t>
      </w:r>
      <w:proofErr w:type="spellStart"/>
      <w:r w:rsidR="00BF7053">
        <w:rPr>
          <w:bCs/>
        </w:rPr>
        <w:t>eNB</w:t>
      </w:r>
      <w:proofErr w:type="spellEnd"/>
      <w:r w:rsidR="00BF7053">
        <w:rPr>
          <w:bCs/>
        </w:rPr>
        <w:t>). The yellow dashed portion of the power consumption profile in this figure is hence essentially wasted power as the UE might as well be in a sleep state until the end of the RTT, when the UE can be scheduled with a further UL grant.</w:t>
      </w:r>
    </w:p>
    <w:p w14:paraId="7040A7DA" w14:textId="096722A8" w:rsidR="00BF7053" w:rsidRDefault="00BF7053" w:rsidP="005F21FE">
      <w:pPr>
        <w:rPr>
          <w:bCs/>
        </w:rPr>
      </w:pPr>
      <w:r>
        <w:rPr>
          <w:bCs/>
        </w:rPr>
        <w:t>It is hence proposed that, in order to reduce power consumption, when a UE is scheduled PUSCH in the UL, it does not need to monitor MPDCCH until the RTT time has elapsed from the end of the PUSCH.</w:t>
      </w:r>
    </w:p>
    <w:p w14:paraId="261179A7" w14:textId="087F4DDF" w:rsidR="00BF7053" w:rsidRDefault="00BF7053" w:rsidP="00BF7053">
      <w:pPr>
        <w:rPr>
          <w:b/>
          <w:bCs/>
        </w:rPr>
      </w:pPr>
      <w:r>
        <w:rPr>
          <w:b/>
          <w:bCs/>
        </w:rPr>
        <w:t>Proposal 1</w:t>
      </w:r>
      <w:r w:rsidRPr="00671FA9">
        <w:rPr>
          <w:b/>
          <w:bCs/>
        </w:rPr>
        <w:t xml:space="preserve">: </w:t>
      </w:r>
      <w:r>
        <w:rPr>
          <w:b/>
          <w:bCs/>
        </w:rPr>
        <w:t>In order to reduce power consumption, w</w:t>
      </w:r>
      <w:r w:rsidRPr="00BF7053">
        <w:rPr>
          <w:b/>
          <w:bCs/>
        </w:rPr>
        <w:t xml:space="preserve">hen </w:t>
      </w:r>
      <w:r>
        <w:rPr>
          <w:b/>
          <w:bCs/>
        </w:rPr>
        <w:t>a</w:t>
      </w:r>
      <w:r w:rsidRPr="00BF7053">
        <w:rPr>
          <w:b/>
          <w:bCs/>
        </w:rPr>
        <w:t xml:space="preserve"> UE is scheduled PUSCH in the UL, it does not need to monitor MPDCCH until the RTT time has elapsed from the end of the PUSCH</w:t>
      </w:r>
      <w:r w:rsidRPr="00671FA9">
        <w:rPr>
          <w:b/>
          <w:bCs/>
        </w:rPr>
        <w:t>.</w:t>
      </w:r>
    </w:p>
    <w:p w14:paraId="38631AD0" w14:textId="0774D523" w:rsidR="00C72656" w:rsidRDefault="00C72656" w:rsidP="005F21FE">
      <w:pPr>
        <w:rPr>
          <w:bCs/>
        </w:rPr>
      </w:pPr>
    </w:p>
    <w:p w14:paraId="5A2A7882" w14:textId="7F098E4D" w:rsidR="00C72656" w:rsidRDefault="00C72656" w:rsidP="005F21FE">
      <w:pPr>
        <w:rPr>
          <w:b/>
          <w:bCs/>
        </w:rPr>
      </w:pPr>
      <w:r>
        <w:rPr>
          <w:b/>
          <w:bCs/>
          <w:noProof/>
        </w:rPr>
        <w:drawing>
          <wp:inline distT="0" distB="0" distL="0" distR="0" wp14:anchorId="28985C2C" wp14:editId="2F5353AA">
            <wp:extent cx="5680226" cy="344506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8285" cy="3462083"/>
                    </a:xfrm>
                    <a:prstGeom prst="rect">
                      <a:avLst/>
                    </a:prstGeom>
                    <a:noFill/>
                  </pic:spPr>
                </pic:pic>
              </a:graphicData>
            </a:graphic>
          </wp:inline>
        </w:drawing>
      </w:r>
    </w:p>
    <w:p w14:paraId="6A683BC5" w14:textId="576F252F" w:rsidR="00C72656" w:rsidRDefault="00C72656" w:rsidP="00C72656">
      <w:pPr>
        <w:pStyle w:val="Caption"/>
        <w:rPr>
          <w:b w:val="0"/>
          <w:bCs w:val="0"/>
        </w:rPr>
      </w:pPr>
      <w:bookmarkStart w:id="6" w:name="_Ref61904818"/>
      <w:r>
        <w:t xml:space="preserve">Figure </w:t>
      </w:r>
      <w:r w:rsidR="00291A6A">
        <w:fldChar w:fldCharType="begin"/>
      </w:r>
      <w:r w:rsidR="00291A6A">
        <w:instrText xml:space="preserve"> SEQ Figure \* ARABIC </w:instrText>
      </w:r>
      <w:r w:rsidR="00291A6A">
        <w:fldChar w:fldCharType="separate"/>
      </w:r>
      <w:r>
        <w:rPr>
          <w:noProof/>
        </w:rPr>
        <w:t>4</w:t>
      </w:r>
      <w:r w:rsidR="00291A6A">
        <w:rPr>
          <w:noProof/>
        </w:rPr>
        <w:fldChar w:fldCharType="end"/>
      </w:r>
      <w:bookmarkEnd w:id="6"/>
      <w:r>
        <w:t xml:space="preserve"> - Excess power consumption from monitoring MPDCCH when UE is unlikely to be scheduled</w:t>
      </w:r>
    </w:p>
    <w:p w14:paraId="3FC55F81" w14:textId="105FBB25" w:rsidR="00CE1213" w:rsidRPr="00094F43" w:rsidRDefault="00094F43" w:rsidP="00387C77">
      <w:pPr>
        <w:pStyle w:val="Heading1"/>
        <w:spacing w:after="80"/>
        <w:jc w:val="left"/>
        <w:rPr>
          <w:sz w:val="24"/>
          <w:szCs w:val="24"/>
          <w:lang w:eastAsia="zh-CN"/>
        </w:rPr>
      </w:pPr>
      <w:bookmarkStart w:id="7" w:name="_Hlk47387515"/>
      <w:r w:rsidRPr="5DEF72DC">
        <w:rPr>
          <w:sz w:val="24"/>
          <w:szCs w:val="24"/>
          <w:lang w:eastAsia="zh-CN"/>
        </w:rPr>
        <w:t>Conclusions</w:t>
      </w:r>
    </w:p>
    <w:p w14:paraId="2D7DE78E" w14:textId="3D2BF8B4" w:rsidR="00E25E48" w:rsidRDefault="006A341C" w:rsidP="00E25E48">
      <w:pPr>
        <w:rPr>
          <w:bCs/>
        </w:rPr>
      </w:pPr>
      <w:r>
        <w:rPr>
          <w:bCs/>
        </w:rPr>
        <w:t>This document has considered HARQ operation for IoT-NTN. The following observations are made:</w:t>
      </w:r>
    </w:p>
    <w:p w14:paraId="7EFB8457" w14:textId="77777777" w:rsidR="006A341C" w:rsidRPr="0006425E" w:rsidRDefault="006A341C" w:rsidP="006A341C">
      <w:pPr>
        <w:rPr>
          <w:b/>
        </w:rPr>
      </w:pPr>
      <w:r w:rsidRPr="0006425E">
        <w:rPr>
          <w:b/>
        </w:rPr>
        <w:t xml:space="preserve">Observation </w:t>
      </w:r>
      <w:r>
        <w:rPr>
          <w:b/>
        </w:rPr>
        <w:t>1</w:t>
      </w:r>
      <w:r w:rsidRPr="0006425E">
        <w:rPr>
          <w:b/>
        </w:rPr>
        <w:t xml:space="preserve">. Significant amounts of coverage enhancement are required to operate </w:t>
      </w:r>
      <w:proofErr w:type="spellStart"/>
      <w:r w:rsidRPr="0006425E">
        <w:rPr>
          <w:b/>
        </w:rPr>
        <w:t>eMTC</w:t>
      </w:r>
      <w:proofErr w:type="spellEnd"/>
      <w:r w:rsidRPr="0006425E">
        <w:rPr>
          <w:b/>
        </w:rPr>
        <w:t xml:space="preserve"> and NB-IoT in IoT-NTN constellations.</w:t>
      </w:r>
    </w:p>
    <w:p w14:paraId="1210F1F9" w14:textId="77777777" w:rsidR="006A341C" w:rsidRDefault="006A341C" w:rsidP="006A341C">
      <w:pPr>
        <w:rPr>
          <w:b/>
        </w:rPr>
      </w:pPr>
      <w:r w:rsidRPr="0006425E">
        <w:rPr>
          <w:b/>
        </w:rPr>
        <w:t xml:space="preserve">Observation </w:t>
      </w:r>
      <w:r>
        <w:rPr>
          <w:b/>
        </w:rPr>
        <w:t>2</w:t>
      </w:r>
      <w:r w:rsidRPr="0006425E">
        <w:rPr>
          <w:b/>
        </w:rPr>
        <w:t xml:space="preserve">. </w:t>
      </w:r>
      <w:r>
        <w:rPr>
          <w:b/>
        </w:rPr>
        <w:t xml:space="preserve">The </w:t>
      </w:r>
      <w:proofErr w:type="spellStart"/>
      <w:r>
        <w:rPr>
          <w:b/>
        </w:rPr>
        <w:t>eMTC</w:t>
      </w:r>
      <w:proofErr w:type="spellEnd"/>
      <w:r>
        <w:rPr>
          <w:b/>
        </w:rPr>
        <w:t xml:space="preserve"> UL </w:t>
      </w:r>
      <w:r w:rsidRPr="00AC784A">
        <w:rPr>
          <w:b/>
        </w:rPr>
        <w:t>needs to operate in CE Mode B in order to support NTN</w:t>
      </w:r>
      <w:r w:rsidRPr="0006425E">
        <w:rPr>
          <w:b/>
        </w:rPr>
        <w:t>.</w:t>
      </w:r>
    </w:p>
    <w:p w14:paraId="2F1F9461" w14:textId="77777777" w:rsidR="006A341C" w:rsidRDefault="006A341C" w:rsidP="006A341C">
      <w:pPr>
        <w:rPr>
          <w:b/>
        </w:rPr>
      </w:pPr>
      <w:r w:rsidRPr="0006425E">
        <w:rPr>
          <w:b/>
        </w:rPr>
        <w:lastRenderedPageBreak/>
        <w:t xml:space="preserve">Observation </w:t>
      </w:r>
      <w:r>
        <w:rPr>
          <w:b/>
        </w:rPr>
        <w:t>3</w:t>
      </w:r>
      <w:r w:rsidRPr="0006425E">
        <w:rPr>
          <w:b/>
        </w:rPr>
        <w:t xml:space="preserve">. </w:t>
      </w:r>
      <w:r>
        <w:rPr>
          <w:b/>
        </w:rPr>
        <w:t xml:space="preserve">A </w:t>
      </w:r>
      <w:proofErr w:type="gramStart"/>
      <w:r>
        <w:rPr>
          <w:b/>
        </w:rPr>
        <w:t>500 bit</w:t>
      </w:r>
      <w:proofErr w:type="gramEnd"/>
      <w:r>
        <w:rPr>
          <w:b/>
        </w:rPr>
        <w:t xml:space="preserve"> transport block is transmitted in approximately 320ms in the UL for either </w:t>
      </w:r>
      <w:proofErr w:type="spellStart"/>
      <w:r>
        <w:rPr>
          <w:b/>
        </w:rPr>
        <w:t>eMTC</w:t>
      </w:r>
      <w:proofErr w:type="spellEnd"/>
      <w:r>
        <w:rPr>
          <w:b/>
        </w:rPr>
        <w:t xml:space="preserve"> or NB-IoT</w:t>
      </w:r>
      <w:r w:rsidRPr="0006425E">
        <w:rPr>
          <w:b/>
        </w:rPr>
        <w:t>.</w:t>
      </w:r>
    </w:p>
    <w:p w14:paraId="4195D27F" w14:textId="77777777" w:rsidR="006A341C" w:rsidRDefault="006A341C" w:rsidP="006A341C">
      <w:pPr>
        <w:rPr>
          <w:b/>
          <w:bCs/>
        </w:rPr>
      </w:pPr>
      <w:r w:rsidRPr="00671FA9">
        <w:rPr>
          <w:b/>
          <w:bCs/>
        </w:rPr>
        <w:t>Observation</w:t>
      </w:r>
      <w:r>
        <w:rPr>
          <w:b/>
          <w:bCs/>
        </w:rPr>
        <w:t xml:space="preserve"> 4</w:t>
      </w:r>
      <w:r w:rsidRPr="00671FA9">
        <w:rPr>
          <w:b/>
          <w:bCs/>
        </w:rPr>
        <w:t xml:space="preserve">: </w:t>
      </w:r>
      <w:r>
        <w:rPr>
          <w:b/>
          <w:bCs/>
        </w:rPr>
        <w:t>For GEO, 63% (512ms out of 806ms) of the HARQ cycle time is occupied by active PUSCH transmissions when 2 HARQ processes are active</w:t>
      </w:r>
      <w:r w:rsidRPr="00671FA9">
        <w:rPr>
          <w:b/>
          <w:bCs/>
        </w:rPr>
        <w:t>.</w:t>
      </w:r>
    </w:p>
    <w:p w14:paraId="7AB07DCA" w14:textId="3091E47A" w:rsidR="006A341C" w:rsidRDefault="006A341C" w:rsidP="006A341C">
      <w:pPr>
        <w:rPr>
          <w:b/>
          <w:bCs/>
        </w:rPr>
      </w:pPr>
      <w:r w:rsidRPr="00671FA9">
        <w:rPr>
          <w:b/>
          <w:bCs/>
        </w:rPr>
        <w:t>Observation</w:t>
      </w:r>
      <w:r>
        <w:rPr>
          <w:b/>
          <w:bCs/>
        </w:rPr>
        <w:t xml:space="preserve"> 5</w:t>
      </w:r>
      <w:r w:rsidRPr="00671FA9">
        <w:rPr>
          <w:b/>
          <w:bCs/>
        </w:rPr>
        <w:t xml:space="preserve">: </w:t>
      </w:r>
      <w:r>
        <w:rPr>
          <w:b/>
          <w:bCs/>
        </w:rPr>
        <w:t>For LEO constellations, the UE processing pipeline can be fully loaded with active PUSCH transmissions when 2 HARQ processes are active</w:t>
      </w:r>
      <w:r w:rsidRPr="00671FA9">
        <w:rPr>
          <w:b/>
          <w:bCs/>
        </w:rPr>
        <w:t>.</w:t>
      </w:r>
    </w:p>
    <w:p w14:paraId="76D29A08" w14:textId="5FB5C974" w:rsidR="006A341C" w:rsidRPr="006A341C" w:rsidRDefault="006A341C" w:rsidP="006A341C">
      <w:r>
        <w:t>The following proposal is made:</w:t>
      </w:r>
    </w:p>
    <w:p w14:paraId="498FE6B1" w14:textId="77777777" w:rsidR="006A341C" w:rsidRDefault="006A341C" w:rsidP="006A341C">
      <w:pPr>
        <w:rPr>
          <w:b/>
          <w:bCs/>
        </w:rPr>
      </w:pPr>
      <w:r>
        <w:rPr>
          <w:b/>
          <w:bCs/>
        </w:rPr>
        <w:t>Proposal 1</w:t>
      </w:r>
      <w:r w:rsidRPr="00671FA9">
        <w:rPr>
          <w:b/>
          <w:bCs/>
        </w:rPr>
        <w:t xml:space="preserve">: </w:t>
      </w:r>
      <w:r>
        <w:rPr>
          <w:b/>
          <w:bCs/>
        </w:rPr>
        <w:t>In order to reduce power consumption, w</w:t>
      </w:r>
      <w:r w:rsidRPr="00BF7053">
        <w:rPr>
          <w:b/>
          <w:bCs/>
        </w:rPr>
        <w:t xml:space="preserve">hen </w:t>
      </w:r>
      <w:r>
        <w:rPr>
          <w:b/>
          <w:bCs/>
        </w:rPr>
        <w:t>a</w:t>
      </w:r>
      <w:r w:rsidRPr="00BF7053">
        <w:rPr>
          <w:b/>
          <w:bCs/>
        </w:rPr>
        <w:t xml:space="preserve"> UE is scheduled PUSCH in the UL, it does not need to monitor MPDCCH until the RTT time has elapsed from the end of the PUSCH</w:t>
      </w:r>
      <w:r w:rsidRPr="00671FA9">
        <w:rPr>
          <w:b/>
          <w:bCs/>
        </w:rPr>
        <w:t>.</w:t>
      </w:r>
    </w:p>
    <w:bookmarkEnd w:id="7"/>
    <w:p w14:paraId="2E14595A" w14:textId="730311F7" w:rsidR="006A341C" w:rsidRDefault="006A341C" w:rsidP="00E25E48">
      <w:pPr>
        <w:rPr>
          <w:bCs/>
        </w:rPr>
      </w:pPr>
      <w:r>
        <w:rPr>
          <w:bCs/>
        </w:rPr>
        <w:t>It is further proposed that the IoT-NTN study item technical report records the types of observation that have been made in this document.</w:t>
      </w:r>
    </w:p>
    <w:p w14:paraId="025DB1D5" w14:textId="0F600E36" w:rsidR="006A341C" w:rsidRDefault="006A341C" w:rsidP="006A341C">
      <w:pPr>
        <w:rPr>
          <w:b/>
          <w:bCs/>
        </w:rPr>
      </w:pPr>
      <w:r>
        <w:rPr>
          <w:b/>
          <w:bCs/>
        </w:rPr>
        <w:t>Proposal 2</w:t>
      </w:r>
      <w:r w:rsidRPr="00671FA9">
        <w:rPr>
          <w:b/>
          <w:bCs/>
        </w:rPr>
        <w:t xml:space="preserve">: </w:t>
      </w:r>
      <w:r>
        <w:rPr>
          <w:b/>
          <w:bCs/>
        </w:rPr>
        <w:t>The IoT-NTN TR captures observations on:</w:t>
      </w:r>
    </w:p>
    <w:p w14:paraId="390D17DA" w14:textId="77777777" w:rsidR="006A341C" w:rsidRPr="00E41C3D" w:rsidRDefault="006A341C" w:rsidP="006A341C">
      <w:pPr>
        <w:pStyle w:val="ListParagraph"/>
        <w:numPr>
          <w:ilvl w:val="0"/>
          <w:numId w:val="49"/>
        </w:numPr>
        <w:rPr>
          <w:rFonts w:ascii="Times New Roman" w:hAnsi="Times New Roman" w:cs="Times New Roman"/>
          <w:b/>
          <w:bCs/>
        </w:rPr>
      </w:pPr>
      <w:bookmarkStart w:id="8" w:name="_GoBack"/>
      <w:r w:rsidRPr="00E41C3D">
        <w:rPr>
          <w:rFonts w:ascii="Times New Roman" w:hAnsi="Times New Roman" w:cs="Times New Roman"/>
          <w:b/>
          <w:bCs/>
        </w:rPr>
        <w:t>The fraction of the HARQ cycle that is occupied by active PUSCH / PDSCH transmissions</w:t>
      </w:r>
    </w:p>
    <w:p w14:paraId="730DF3E6" w14:textId="52EE8E50" w:rsidR="006A341C" w:rsidRPr="00E41C3D" w:rsidRDefault="006A341C" w:rsidP="006A341C">
      <w:pPr>
        <w:pStyle w:val="ListParagraph"/>
        <w:numPr>
          <w:ilvl w:val="0"/>
          <w:numId w:val="49"/>
        </w:numPr>
        <w:rPr>
          <w:rFonts w:ascii="Times New Roman" w:hAnsi="Times New Roman" w:cs="Times New Roman"/>
          <w:b/>
          <w:bCs/>
        </w:rPr>
      </w:pPr>
      <w:r w:rsidRPr="00E41C3D">
        <w:rPr>
          <w:rFonts w:ascii="Times New Roman" w:hAnsi="Times New Roman" w:cs="Times New Roman"/>
          <w:b/>
          <w:bCs/>
        </w:rPr>
        <w:t xml:space="preserve">The number of HARQ processes that are supportable in IoT-NTN </w:t>
      </w:r>
    </w:p>
    <w:bookmarkEnd w:id="8"/>
    <w:p w14:paraId="57D5270B" w14:textId="77777777" w:rsidR="006A341C" w:rsidRPr="006A341C" w:rsidRDefault="006A341C" w:rsidP="00E25E48">
      <w:pPr>
        <w:rPr>
          <w:bCs/>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7A57008E" w14:textId="77777777" w:rsidR="00E27822" w:rsidRDefault="00E27822" w:rsidP="00E27822">
      <w:pPr>
        <w:pStyle w:val="ListParagraph"/>
        <w:numPr>
          <w:ilvl w:val="0"/>
          <w:numId w:val="11"/>
        </w:numPr>
        <w:ind w:left="426" w:hanging="426"/>
        <w:rPr>
          <w:rFonts w:ascii="Times New Roman" w:hAnsi="Times New Roman" w:cs="Times New Roman"/>
        </w:rPr>
      </w:pPr>
      <w:bookmarkStart w:id="9" w:name="_Ref40204599"/>
      <w:r>
        <w:rPr>
          <w:rFonts w:ascii="Times New Roman" w:hAnsi="Times New Roman" w:cs="Times New Roman"/>
        </w:rPr>
        <w:t xml:space="preserve">RP-193235. </w:t>
      </w:r>
      <w:bookmarkEnd w:id="9"/>
      <w:r>
        <w:rPr>
          <w:rFonts w:ascii="Times New Roman" w:hAnsi="Times New Roman" w:cs="Times New Roman"/>
        </w:rPr>
        <w:t xml:space="preserve">“Study on NB-IoT / </w:t>
      </w:r>
      <w:proofErr w:type="spellStart"/>
      <w:r>
        <w:rPr>
          <w:rFonts w:ascii="Times New Roman" w:hAnsi="Times New Roman" w:cs="Times New Roman"/>
        </w:rPr>
        <w:t>eMTC</w:t>
      </w:r>
      <w:proofErr w:type="spellEnd"/>
      <w:r>
        <w:rPr>
          <w:rFonts w:ascii="Times New Roman" w:hAnsi="Times New Roman" w:cs="Times New Roman"/>
        </w:rPr>
        <w:t xml:space="preserve"> support for Non-Terrestrial Network”. RANP#86. </w:t>
      </w:r>
      <w:proofErr w:type="spellStart"/>
      <w:r>
        <w:rPr>
          <w:rFonts w:ascii="Times New Roman" w:hAnsi="Times New Roman" w:cs="Times New Roman"/>
        </w:rPr>
        <w:t>Sitges</w:t>
      </w:r>
      <w:proofErr w:type="spellEnd"/>
      <w:r>
        <w:rPr>
          <w:rFonts w:ascii="Times New Roman" w:hAnsi="Times New Roman" w:cs="Times New Roman"/>
        </w:rPr>
        <w:t>, Spain. December 2019.</w:t>
      </w:r>
    </w:p>
    <w:p w14:paraId="76BD3979" w14:textId="77777777" w:rsidR="00E27822" w:rsidRDefault="00E27822" w:rsidP="00E27822">
      <w:pPr>
        <w:pStyle w:val="ListParagraph"/>
        <w:numPr>
          <w:ilvl w:val="0"/>
          <w:numId w:val="11"/>
        </w:numPr>
        <w:ind w:left="426" w:hanging="426"/>
        <w:rPr>
          <w:rFonts w:ascii="Times New Roman" w:hAnsi="Times New Roman" w:cs="Times New Roman"/>
        </w:rPr>
      </w:pPr>
      <w:bookmarkStart w:id="10" w:name="_Ref54298530"/>
      <w:r w:rsidRPr="00995C65">
        <w:rPr>
          <w:rFonts w:ascii="Times New Roman" w:hAnsi="Times New Roman" w:cs="Times New Roman"/>
        </w:rPr>
        <w:t>3GPP TR 38.821, Solutions for NR to support non-terrestrial networks (NTN), V16.0.0.</w:t>
      </w:r>
      <w:bookmarkEnd w:id="10"/>
    </w:p>
    <w:p w14:paraId="5452DAC1" w14:textId="778880DD" w:rsidR="00E27822" w:rsidRDefault="00E27822" w:rsidP="00E27822">
      <w:pPr>
        <w:pStyle w:val="ListParagraph"/>
        <w:numPr>
          <w:ilvl w:val="0"/>
          <w:numId w:val="11"/>
        </w:numPr>
        <w:ind w:left="426" w:hanging="426"/>
        <w:rPr>
          <w:rFonts w:ascii="Times New Roman" w:hAnsi="Times New Roman" w:cs="Times New Roman"/>
        </w:rPr>
      </w:pPr>
      <w:bookmarkStart w:id="11" w:name="_Ref61884091"/>
      <w:r>
        <w:rPr>
          <w:rFonts w:ascii="Times New Roman" w:hAnsi="Times New Roman" w:cs="Times New Roman"/>
        </w:rPr>
        <w:t xml:space="preserve">R1-2009236. “Considerations for support of NB-IoT and </w:t>
      </w:r>
      <w:proofErr w:type="spellStart"/>
      <w:r>
        <w:rPr>
          <w:rFonts w:ascii="Times New Roman" w:hAnsi="Times New Roman" w:cs="Times New Roman"/>
        </w:rPr>
        <w:t>eMTC</w:t>
      </w:r>
      <w:proofErr w:type="spellEnd"/>
      <w:r>
        <w:rPr>
          <w:rFonts w:ascii="Times New Roman" w:hAnsi="Times New Roman" w:cs="Times New Roman"/>
        </w:rPr>
        <w:t xml:space="preserve"> over NTN”. Sony. RAN1#103e. October 2020.</w:t>
      </w:r>
      <w:bookmarkEnd w:id="11"/>
    </w:p>
    <w:p w14:paraId="4AC48E9A" w14:textId="5A8D47A4" w:rsidR="00E27822" w:rsidRDefault="00E27822" w:rsidP="00E27822">
      <w:pPr>
        <w:pStyle w:val="ListParagraph"/>
        <w:numPr>
          <w:ilvl w:val="0"/>
          <w:numId w:val="11"/>
        </w:numPr>
        <w:ind w:left="426" w:hanging="426"/>
        <w:rPr>
          <w:rFonts w:ascii="Times New Roman" w:hAnsi="Times New Roman" w:cs="Times New Roman"/>
        </w:rPr>
      </w:pPr>
      <w:bookmarkStart w:id="12" w:name="_Ref61896723"/>
      <w:r>
        <w:rPr>
          <w:rFonts w:ascii="Times New Roman" w:hAnsi="Times New Roman" w:cs="Times New Roman"/>
        </w:rPr>
        <w:t>R1-2009253. “</w:t>
      </w:r>
      <w:r w:rsidRPr="00E27822">
        <w:rPr>
          <w:rFonts w:ascii="Times New Roman" w:hAnsi="Times New Roman" w:cs="Times New Roman"/>
        </w:rPr>
        <w:t xml:space="preserve">Scenarios for support of NB-IoT and </w:t>
      </w:r>
      <w:proofErr w:type="spellStart"/>
      <w:r w:rsidRPr="00E27822">
        <w:rPr>
          <w:rFonts w:ascii="Times New Roman" w:hAnsi="Times New Roman" w:cs="Times New Roman"/>
        </w:rPr>
        <w:t>eMTC</w:t>
      </w:r>
      <w:proofErr w:type="spellEnd"/>
      <w:r w:rsidRPr="00E27822">
        <w:rPr>
          <w:rFonts w:ascii="Times New Roman" w:hAnsi="Times New Roman" w:cs="Times New Roman"/>
        </w:rPr>
        <w:t xml:space="preserve"> over NTN</w:t>
      </w:r>
      <w:r>
        <w:rPr>
          <w:rFonts w:ascii="Times New Roman" w:hAnsi="Times New Roman" w:cs="Times New Roman"/>
        </w:rPr>
        <w:t>”. Sony. RAN1#103e. October 2020.</w:t>
      </w:r>
      <w:bookmarkEnd w:id="12"/>
    </w:p>
    <w:p w14:paraId="646C3BDA" w14:textId="1DBADF31" w:rsidR="007030C3" w:rsidRDefault="007030C3" w:rsidP="007030C3">
      <w:pPr>
        <w:pStyle w:val="ListParagraph"/>
        <w:numPr>
          <w:ilvl w:val="0"/>
          <w:numId w:val="11"/>
        </w:numPr>
        <w:ind w:left="426" w:hanging="426"/>
        <w:rPr>
          <w:rFonts w:ascii="Times New Roman" w:hAnsi="Times New Roman" w:cs="Times New Roman"/>
        </w:rPr>
      </w:pPr>
      <w:bookmarkStart w:id="13" w:name="_Ref54301188"/>
      <w:r>
        <w:rPr>
          <w:rFonts w:ascii="Times New Roman" w:hAnsi="Times New Roman" w:cs="Times New Roman"/>
        </w:rPr>
        <w:t xml:space="preserve">“Coverage Analysis of LTE-M Category M1”. Link: </w:t>
      </w:r>
      <w:hyperlink r:id="rId16" w:history="1">
        <w:r w:rsidRPr="006D65FE">
          <w:rPr>
            <w:rStyle w:val="Hyperlink"/>
            <w:rFonts w:ascii="Times New Roman" w:hAnsi="Times New Roman" w:cs="Times New Roman"/>
          </w:rPr>
          <w:t>https://altair-semi.com/wp-content/uploads/2017/02/Coverage-Analysis-of-LTE-CAT-M1-White-Paper.pdf</w:t>
        </w:r>
      </w:hyperlink>
      <w:bookmarkEnd w:id="13"/>
    </w:p>
    <w:p w14:paraId="79023305" w14:textId="3C8A0654" w:rsidR="007030C3" w:rsidRDefault="00763B64" w:rsidP="00E27822">
      <w:pPr>
        <w:pStyle w:val="ListParagraph"/>
        <w:numPr>
          <w:ilvl w:val="0"/>
          <w:numId w:val="11"/>
        </w:numPr>
        <w:ind w:left="426" w:hanging="426"/>
        <w:rPr>
          <w:rFonts w:ascii="Times New Roman" w:hAnsi="Times New Roman" w:cs="Times New Roman"/>
        </w:rPr>
      </w:pPr>
      <w:bookmarkStart w:id="14" w:name="_Ref61897527"/>
      <w:r>
        <w:rPr>
          <w:rFonts w:ascii="Times New Roman" w:hAnsi="Times New Roman" w:cs="Times New Roman"/>
        </w:rPr>
        <w:t>R1-2100874. “</w:t>
      </w:r>
      <w:r w:rsidRPr="00763B64">
        <w:rPr>
          <w:rFonts w:ascii="Times New Roman" w:hAnsi="Times New Roman" w:cs="Times New Roman"/>
        </w:rPr>
        <w:t>Scenarios for IoT-NTN</w:t>
      </w:r>
      <w:r>
        <w:rPr>
          <w:rFonts w:ascii="Times New Roman" w:hAnsi="Times New Roman" w:cs="Times New Roman"/>
        </w:rPr>
        <w:t>”. Sony. RAN1#104e. January 2021.</w:t>
      </w:r>
      <w:bookmarkEnd w:id="14"/>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E356" w14:textId="77777777" w:rsidR="00291A6A" w:rsidRDefault="00291A6A">
      <w:r>
        <w:separator/>
      </w:r>
    </w:p>
  </w:endnote>
  <w:endnote w:type="continuationSeparator" w:id="0">
    <w:p w14:paraId="32D7ABA7" w14:textId="77777777" w:rsidR="00291A6A" w:rsidRDefault="00291A6A">
      <w:r>
        <w:continuationSeparator/>
      </w:r>
    </w:p>
  </w:endnote>
  <w:endnote w:type="continuationNotice" w:id="1">
    <w:p w14:paraId="50AB706A" w14:textId="77777777" w:rsidR="00291A6A" w:rsidRDefault="00291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quot;&quot;Courier New&quot;&quot;,serif">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4CE5C" w14:textId="77777777" w:rsidR="00291A6A" w:rsidRDefault="00291A6A">
      <w:r>
        <w:separator/>
      </w:r>
    </w:p>
  </w:footnote>
  <w:footnote w:type="continuationSeparator" w:id="0">
    <w:p w14:paraId="29A0C99A" w14:textId="77777777" w:rsidR="00291A6A" w:rsidRDefault="00291A6A">
      <w:r>
        <w:continuationSeparator/>
      </w:r>
    </w:p>
  </w:footnote>
  <w:footnote w:type="continuationNotice" w:id="1">
    <w:p w14:paraId="24936284" w14:textId="77777777" w:rsidR="00291A6A" w:rsidRDefault="00291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03E"/>
    <w:multiLevelType w:val="hybridMultilevel"/>
    <w:tmpl w:val="FFFFFFFF"/>
    <w:lvl w:ilvl="0" w:tplc="0E1C8682">
      <w:start w:val="1"/>
      <w:numFmt w:val="bullet"/>
      <w:lvlText w:val="·"/>
      <w:lvlJc w:val="left"/>
      <w:pPr>
        <w:ind w:left="720" w:hanging="360"/>
      </w:pPr>
      <w:rPr>
        <w:rFonts w:ascii="Symbol" w:hAnsi="Symbol" w:hint="default"/>
      </w:rPr>
    </w:lvl>
    <w:lvl w:ilvl="1" w:tplc="C01A506A">
      <w:start w:val="1"/>
      <w:numFmt w:val="bullet"/>
      <w:lvlText w:val="o"/>
      <w:lvlJc w:val="left"/>
      <w:pPr>
        <w:ind w:left="1440" w:hanging="360"/>
      </w:pPr>
      <w:rPr>
        <w:rFonts w:ascii="&quot;&quot;Courier New&quot;&quot;,serif" w:hAnsi="&quot;&quot;Courier New&quot;&quot;,serif" w:hint="default"/>
      </w:rPr>
    </w:lvl>
    <w:lvl w:ilvl="2" w:tplc="5D7E1188">
      <w:start w:val="1"/>
      <w:numFmt w:val="bullet"/>
      <w:lvlText w:val=""/>
      <w:lvlJc w:val="left"/>
      <w:pPr>
        <w:ind w:left="2160" w:hanging="360"/>
      </w:pPr>
      <w:rPr>
        <w:rFonts w:ascii="Wingdings" w:hAnsi="Wingdings" w:hint="default"/>
      </w:rPr>
    </w:lvl>
    <w:lvl w:ilvl="3" w:tplc="FE7EF248">
      <w:start w:val="1"/>
      <w:numFmt w:val="bullet"/>
      <w:lvlText w:val=""/>
      <w:lvlJc w:val="left"/>
      <w:pPr>
        <w:ind w:left="2880" w:hanging="360"/>
      </w:pPr>
      <w:rPr>
        <w:rFonts w:ascii="Symbol" w:hAnsi="Symbol" w:hint="default"/>
      </w:rPr>
    </w:lvl>
    <w:lvl w:ilvl="4" w:tplc="4554FEC2">
      <w:start w:val="1"/>
      <w:numFmt w:val="bullet"/>
      <w:lvlText w:val="o"/>
      <w:lvlJc w:val="left"/>
      <w:pPr>
        <w:ind w:left="3600" w:hanging="360"/>
      </w:pPr>
      <w:rPr>
        <w:rFonts w:ascii="Courier New" w:hAnsi="Courier New" w:hint="default"/>
      </w:rPr>
    </w:lvl>
    <w:lvl w:ilvl="5" w:tplc="236A236C">
      <w:start w:val="1"/>
      <w:numFmt w:val="bullet"/>
      <w:lvlText w:val=""/>
      <w:lvlJc w:val="left"/>
      <w:pPr>
        <w:ind w:left="4320" w:hanging="360"/>
      </w:pPr>
      <w:rPr>
        <w:rFonts w:ascii="Wingdings" w:hAnsi="Wingdings" w:hint="default"/>
      </w:rPr>
    </w:lvl>
    <w:lvl w:ilvl="6" w:tplc="62A0F4B6">
      <w:start w:val="1"/>
      <w:numFmt w:val="bullet"/>
      <w:lvlText w:val=""/>
      <w:lvlJc w:val="left"/>
      <w:pPr>
        <w:ind w:left="5040" w:hanging="360"/>
      </w:pPr>
      <w:rPr>
        <w:rFonts w:ascii="Symbol" w:hAnsi="Symbol" w:hint="default"/>
      </w:rPr>
    </w:lvl>
    <w:lvl w:ilvl="7" w:tplc="937689F0">
      <w:start w:val="1"/>
      <w:numFmt w:val="bullet"/>
      <w:lvlText w:val="o"/>
      <w:lvlJc w:val="left"/>
      <w:pPr>
        <w:ind w:left="5760" w:hanging="360"/>
      </w:pPr>
      <w:rPr>
        <w:rFonts w:ascii="Courier New" w:hAnsi="Courier New" w:hint="default"/>
      </w:rPr>
    </w:lvl>
    <w:lvl w:ilvl="8" w:tplc="60842DB6">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E2B"/>
    <w:multiLevelType w:val="hybridMultilevel"/>
    <w:tmpl w:val="5A2A6F26"/>
    <w:lvl w:ilvl="0" w:tplc="7EF2A2FA">
      <w:start w:val="1"/>
      <w:numFmt w:val="bullet"/>
      <w:lvlText w:val="·"/>
      <w:lvlJc w:val="left"/>
      <w:pPr>
        <w:ind w:left="720" w:hanging="360"/>
      </w:pPr>
      <w:rPr>
        <w:rFonts w:ascii="Symbol" w:hAnsi="Symbol" w:hint="default"/>
      </w:rPr>
    </w:lvl>
    <w:lvl w:ilvl="1" w:tplc="FF3C5B20">
      <w:start w:val="1"/>
      <w:numFmt w:val="bullet"/>
      <w:lvlText w:val="o"/>
      <w:lvlJc w:val="left"/>
      <w:pPr>
        <w:ind w:left="1440" w:hanging="360"/>
      </w:pPr>
      <w:rPr>
        <w:rFonts w:ascii="&quot;&quot;Courier New&quot;&quot;,serif" w:hAnsi="&quot;&quot;Courier New&quot;&quot;,serif" w:hint="default"/>
      </w:rPr>
    </w:lvl>
    <w:lvl w:ilvl="2" w:tplc="587C2534">
      <w:start w:val="1"/>
      <w:numFmt w:val="bullet"/>
      <w:lvlText w:val=""/>
      <w:lvlJc w:val="left"/>
      <w:pPr>
        <w:ind w:left="2160" w:hanging="360"/>
      </w:pPr>
      <w:rPr>
        <w:rFonts w:ascii="Wingdings" w:hAnsi="Wingdings" w:hint="default"/>
      </w:rPr>
    </w:lvl>
    <w:lvl w:ilvl="3" w:tplc="8FEA7B20">
      <w:start w:val="1"/>
      <w:numFmt w:val="bullet"/>
      <w:lvlText w:val=""/>
      <w:lvlJc w:val="left"/>
      <w:pPr>
        <w:ind w:left="2880" w:hanging="360"/>
      </w:pPr>
      <w:rPr>
        <w:rFonts w:ascii="Symbol" w:hAnsi="Symbol" w:hint="default"/>
      </w:rPr>
    </w:lvl>
    <w:lvl w:ilvl="4" w:tplc="DDD84FDC">
      <w:start w:val="1"/>
      <w:numFmt w:val="bullet"/>
      <w:lvlText w:val="o"/>
      <w:lvlJc w:val="left"/>
      <w:pPr>
        <w:ind w:left="3600" w:hanging="360"/>
      </w:pPr>
      <w:rPr>
        <w:rFonts w:ascii="Courier New" w:hAnsi="Courier New" w:hint="default"/>
      </w:rPr>
    </w:lvl>
    <w:lvl w:ilvl="5" w:tplc="3AB21250">
      <w:start w:val="1"/>
      <w:numFmt w:val="bullet"/>
      <w:lvlText w:val=""/>
      <w:lvlJc w:val="left"/>
      <w:pPr>
        <w:ind w:left="4320" w:hanging="360"/>
      </w:pPr>
      <w:rPr>
        <w:rFonts w:ascii="Wingdings" w:hAnsi="Wingdings" w:hint="default"/>
      </w:rPr>
    </w:lvl>
    <w:lvl w:ilvl="6" w:tplc="E184178E">
      <w:start w:val="1"/>
      <w:numFmt w:val="bullet"/>
      <w:lvlText w:val=""/>
      <w:lvlJc w:val="left"/>
      <w:pPr>
        <w:ind w:left="5040" w:hanging="360"/>
      </w:pPr>
      <w:rPr>
        <w:rFonts w:ascii="Symbol" w:hAnsi="Symbol" w:hint="default"/>
      </w:rPr>
    </w:lvl>
    <w:lvl w:ilvl="7" w:tplc="105E3ED4">
      <w:start w:val="1"/>
      <w:numFmt w:val="bullet"/>
      <w:lvlText w:val="o"/>
      <w:lvlJc w:val="left"/>
      <w:pPr>
        <w:ind w:left="5760" w:hanging="360"/>
      </w:pPr>
      <w:rPr>
        <w:rFonts w:ascii="Courier New" w:hAnsi="Courier New" w:hint="default"/>
      </w:rPr>
    </w:lvl>
    <w:lvl w:ilvl="8" w:tplc="B43CD7C4">
      <w:start w:val="1"/>
      <w:numFmt w:val="bullet"/>
      <w:lvlText w:val=""/>
      <w:lvlJc w:val="left"/>
      <w:pPr>
        <w:ind w:left="6480" w:hanging="360"/>
      </w:pPr>
      <w:rPr>
        <w:rFonts w:ascii="Wingdings" w:hAnsi="Wingdings" w:hint="default"/>
      </w:rPr>
    </w:lvl>
  </w:abstractNum>
  <w:abstractNum w:abstractNumId="5" w15:restartNumberingAfterBreak="0">
    <w:nsid w:val="1AD810F1"/>
    <w:multiLevelType w:val="hybridMultilevel"/>
    <w:tmpl w:val="38708C1C"/>
    <w:lvl w:ilvl="0" w:tplc="97E01A78">
      <w:start w:val="1"/>
      <w:numFmt w:val="bullet"/>
      <w:lvlText w:val="·"/>
      <w:lvlJc w:val="left"/>
      <w:pPr>
        <w:ind w:left="720" w:hanging="360"/>
      </w:pPr>
      <w:rPr>
        <w:rFonts w:ascii="Symbol" w:hAnsi="Symbol" w:hint="default"/>
      </w:rPr>
    </w:lvl>
    <w:lvl w:ilvl="1" w:tplc="C35ACA20">
      <w:start w:val="1"/>
      <w:numFmt w:val="bullet"/>
      <w:lvlText w:val="o"/>
      <w:lvlJc w:val="left"/>
      <w:pPr>
        <w:ind w:left="1440" w:hanging="360"/>
      </w:pPr>
      <w:rPr>
        <w:rFonts w:ascii="&quot;&quot;Courier New&quot;&quot;,serif" w:hAnsi="&quot;&quot;Courier New&quot;&quot;,serif" w:hint="default"/>
      </w:rPr>
    </w:lvl>
    <w:lvl w:ilvl="2" w:tplc="DB388F6C">
      <w:start w:val="1"/>
      <w:numFmt w:val="bullet"/>
      <w:lvlText w:val=""/>
      <w:lvlJc w:val="left"/>
      <w:pPr>
        <w:ind w:left="2160" w:hanging="360"/>
      </w:pPr>
      <w:rPr>
        <w:rFonts w:ascii="Wingdings" w:hAnsi="Wingdings" w:hint="default"/>
      </w:rPr>
    </w:lvl>
    <w:lvl w:ilvl="3" w:tplc="AC5E2C6E">
      <w:start w:val="1"/>
      <w:numFmt w:val="bullet"/>
      <w:lvlText w:val=""/>
      <w:lvlJc w:val="left"/>
      <w:pPr>
        <w:ind w:left="2880" w:hanging="360"/>
      </w:pPr>
      <w:rPr>
        <w:rFonts w:ascii="Symbol" w:hAnsi="Symbol" w:hint="default"/>
      </w:rPr>
    </w:lvl>
    <w:lvl w:ilvl="4" w:tplc="FEE2CBE0">
      <w:start w:val="1"/>
      <w:numFmt w:val="bullet"/>
      <w:lvlText w:val="o"/>
      <w:lvlJc w:val="left"/>
      <w:pPr>
        <w:ind w:left="3600" w:hanging="360"/>
      </w:pPr>
      <w:rPr>
        <w:rFonts w:ascii="Courier New" w:hAnsi="Courier New" w:hint="default"/>
      </w:rPr>
    </w:lvl>
    <w:lvl w:ilvl="5" w:tplc="CA4C8072">
      <w:start w:val="1"/>
      <w:numFmt w:val="bullet"/>
      <w:lvlText w:val=""/>
      <w:lvlJc w:val="left"/>
      <w:pPr>
        <w:ind w:left="4320" w:hanging="360"/>
      </w:pPr>
      <w:rPr>
        <w:rFonts w:ascii="Wingdings" w:hAnsi="Wingdings" w:hint="default"/>
      </w:rPr>
    </w:lvl>
    <w:lvl w:ilvl="6" w:tplc="2C4CB46A">
      <w:start w:val="1"/>
      <w:numFmt w:val="bullet"/>
      <w:lvlText w:val=""/>
      <w:lvlJc w:val="left"/>
      <w:pPr>
        <w:ind w:left="5040" w:hanging="360"/>
      </w:pPr>
      <w:rPr>
        <w:rFonts w:ascii="Symbol" w:hAnsi="Symbol" w:hint="default"/>
      </w:rPr>
    </w:lvl>
    <w:lvl w:ilvl="7" w:tplc="CC8EE888">
      <w:start w:val="1"/>
      <w:numFmt w:val="bullet"/>
      <w:lvlText w:val="o"/>
      <w:lvlJc w:val="left"/>
      <w:pPr>
        <w:ind w:left="5760" w:hanging="360"/>
      </w:pPr>
      <w:rPr>
        <w:rFonts w:ascii="Courier New" w:hAnsi="Courier New" w:hint="default"/>
      </w:rPr>
    </w:lvl>
    <w:lvl w:ilvl="8" w:tplc="3DCC341C">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6"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0"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4F9436CC"/>
    <w:multiLevelType w:val="hybridMultilevel"/>
    <w:tmpl w:val="FFFFFFFF"/>
    <w:lvl w:ilvl="0" w:tplc="EB8E5AAA">
      <w:start w:val="1"/>
      <w:numFmt w:val="bullet"/>
      <w:lvlText w:val=""/>
      <w:lvlJc w:val="left"/>
      <w:pPr>
        <w:ind w:left="420" w:hanging="420"/>
      </w:pPr>
      <w:rPr>
        <w:rFonts w:ascii="Symbol" w:hAnsi="Symbol" w:hint="default"/>
      </w:rPr>
    </w:lvl>
    <w:lvl w:ilvl="1" w:tplc="8BAAA1CA">
      <w:start w:val="1"/>
      <w:numFmt w:val="bullet"/>
      <w:lvlText w:val="-"/>
      <w:lvlJc w:val="left"/>
      <w:pPr>
        <w:ind w:left="840" w:hanging="420"/>
      </w:pPr>
      <w:rPr>
        <w:rFonts w:ascii="Times New Roman" w:hAnsi="Times New Roman" w:cs="Times New Roman" w:hint="default"/>
      </w:rPr>
    </w:lvl>
    <w:lvl w:ilvl="2" w:tplc="5692A22C">
      <w:start w:val="1"/>
      <w:numFmt w:val="decimal"/>
      <w:lvlText w:val="%3."/>
      <w:lvlJc w:val="left"/>
      <w:pPr>
        <w:ind w:left="1260" w:hanging="420"/>
      </w:pPr>
    </w:lvl>
    <w:lvl w:ilvl="3" w:tplc="18BC2522">
      <w:start w:val="1"/>
      <w:numFmt w:val="lowerRoman"/>
      <w:lvlText w:val="%4."/>
      <w:lvlJc w:val="right"/>
      <w:pPr>
        <w:ind w:left="1680" w:hanging="420"/>
      </w:pPr>
    </w:lvl>
    <w:lvl w:ilvl="4" w:tplc="F8965D08">
      <w:start w:val="1"/>
      <w:numFmt w:val="bullet"/>
      <w:lvlText w:val="o"/>
      <w:lvlJc w:val="left"/>
      <w:pPr>
        <w:ind w:left="2100" w:hanging="420"/>
      </w:pPr>
      <w:rPr>
        <w:rFonts w:ascii="Courier New" w:hAnsi="Courier New" w:cs="Times New Roman" w:hint="default"/>
      </w:rPr>
    </w:lvl>
    <w:lvl w:ilvl="5" w:tplc="974258BE">
      <w:start w:val="1"/>
      <w:numFmt w:val="bullet"/>
      <w:lvlText w:val=""/>
      <w:lvlJc w:val="left"/>
      <w:pPr>
        <w:ind w:left="2520" w:hanging="420"/>
      </w:pPr>
      <w:rPr>
        <w:rFonts w:ascii="Wingdings" w:hAnsi="Wingdings" w:hint="default"/>
      </w:rPr>
    </w:lvl>
    <w:lvl w:ilvl="6" w:tplc="CB4C9DE4">
      <w:start w:val="1"/>
      <w:numFmt w:val="bullet"/>
      <w:lvlText w:val=""/>
      <w:lvlJc w:val="left"/>
      <w:pPr>
        <w:ind w:left="2940" w:hanging="420"/>
      </w:pPr>
      <w:rPr>
        <w:rFonts w:ascii="Symbol" w:hAnsi="Symbol" w:hint="default"/>
      </w:rPr>
    </w:lvl>
    <w:lvl w:ilvl="7" w:tplc="D9067B60">
      <w:start w:val="1"/>
      <w:numFmt w:val="bullet"/>
      <w:lvlText w:val="o"/>
      <w:lvlJc w:val="left"/>
      <w:pPr>
        <w:ind w:left="3360" w:hanging="420"/>
      </w:pPr>
      <w:rPr>
        <w:rFonts w:ascii="Courier New" w:hAnsi="Courier New" w:cs="Times New Roman" w:hint="default"/>
      </w:rPr>
    </w:lvl>
    <w:lvl w:ilvl="8" w:tplc="AFC45ECE">
      <w:start w:val="1"/>
      <w:numFmt w:val="bullet"/>
      <w:lvlText w:val=""/>
      <w:lvlJc w:val="left"/>
      <w:pPr>
        <w:ind w:left="3780" w:hanging="420"/>
      </w:pPr>
      <w:rPr>
        <w:rFonts w:ascii="Wingdings" w:hAnsi="Wingdings" w:hint="default"/>
      </w:rPr>
    </w:lvl>
  </w:abstractNum>
  <w:abstractNum w:abstractNumId="23"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6"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8" w15:restartNumberingAfterBreak="0">
    <w:nsid w:val="5DF42349"/>
    <w:multiLevelType w:val="hybridMultilevel"/>
    <w:tmpl w:val="B950D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452D52"/>
    <w:multiLevelType w:val="hybridMultilevel"/>
    <w:tmpl w:val="0FFCB5FC"/>
    <w:lvl w:ilvl="0" w:tplc="5A4C762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2" w15:restartNumberingAfterBreak="0">
    <w:nsid w:val="795172D9"/>
    <w:multiLevelType w:val="hybridMultilevel"/>
    <w:tmpl w:val="9FD40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A7389F"/>
    <w:multiLevelType w:val="hybridMultilevel"/>
    <w:tmpl w:val="FFFFFFFF"/>
    <w:lvl w:ilvl="0" w:tplc="C59096BE">
      <w:start w:val="1"/>
      <w:numFmt w:val="bullet"/>
      <w:lvlText w:val="·"/>
      <w:lvlJc w:val="left"/>
      <w:pPr>
        <w:ind w:left="720" w:hanging="360"/>
      </w:pPr>
      <w:rPr>
        <w:rFonts w:ascii="Symbol" w:hAnsi="Symbol" w:hint="default"/>
      </w:rPr>
    </w:lvl>
    <w:lvl w:ilvl="1" w:tplc="724C618E">
      <w:start w:val="1"/>
      <w:numFmt w:val="bullet"/>
      <w:lvlText w:val="o"/>
      <w:lvlJc w:val="left"/>
      <w:pPr>
        <w:ind w:left="1440" w:hanging="360"/>
      </w:pPr>
      <w:rPr>
        <w:rFonts w:ascii="&quot;&quot;Courier New&quot;&quot;,serif" w:hAnsi="&quot;&quot;Courier New&quot;&quot;,serif" w:hint="default"/>
      </w:rPr>
    </w:lvl>
    <w:lvl w:ilvl="2" w:tplc="0A6AD0BE">
      <w:start w:val="1"/>
      <w:numFmt w:val="bullet"/>
      <w:lvlText w:val=""/>
      <w:lvlJc w:val="left"/>
      <w:pPr>
        <w:ind w:left="2160" w:hanging="360"/>
      </w:pPr>
      <w:rPr>
        <w:rFonts w:ascii="Wingdings" w:hAnsi="Wingdings" w:hint="default"/>
      </w:rPr>
    </w:lvl>
    <w:lvl w:ilvl="3" w:tplc="B88A09DC">
      <w:start w:val="1"/>
      <w:numFmt w:val="bullet"/>
      <w:lvlText w:val=""/>
      <w:lvlJc w:val="left"/>
      <w:pPr>
        <w:ind w:left="2880" w:hanging="360"/>
      </w:pPr>
      <w:rPr>
        <w:rFonts w:ascii="Symbol" w:hAnsi="Symbol" w:hint="default"/>
      </w:rPr>
    </w:lvl>
    <w:lvl w:ilvl="4" w:tplc="80526F10">
      <w:start w:val="1"/>
      <w:numFmt w:val="bullet"/>
      <w:lvlText w:val="o"/>
      <w:lvlJc w:val="left"/>
      <w:pPr>
        <w:ind w:left="3600" w:hanging="360"/>
      </w:pPr>
      <w:rPr>
        <w:rFonts w:ascii="Courier New" w:hAnsi="Courier New" w:hint="default"/>
      </w:rPr>
    </w:lvl>
    <w:lvl w:ilvl="5" w:tplc="4C584CB0">
      <w:start w:val="1"/>
      <w:numFmt w:val="bullet"/>
      <w:lvlText w:val=""/>
      <w:lvlJc w:val="left"/>
      <w:pPr>
        <w:ind w:left="4320" w:hanging="360"/>
      </w:pPr>
      <w:rPr>
        <w:rFonts w:ascii="Wingdings" w:hAnsi="Wingdings" w:hint="default"/>
      </w:rPr>
    </w:lvl>
    <w:lvl w:ilvl="6" w:tplc="926A4FC2">
      <w:start w:val="1"/>
      <w:numFmt w:val="bullet"/>
      <w:lvlText w:val=""/>
      <w:lvlJc w:val="left"/>
      <w:pPr>
        <w:ind w:left="5040" w:hanging="360"/>
      </w:pPr>
      <w:rPr>
        <w:rFonts w:ascii="Symbol" w:hAnsi="Symbol" w:hint="default"/>
      </w:rPr>
    </w:lvl>
    <w:lvl w:ilvl="7" w:tplc="45EA6E40">
      <w:start w:val="1"/>
      <w:numFmt w:val="bullet"/>
      <w:lvlText w:val="o"/>
      <w:lvlJc w:val="left"/>
      <w:pPr>
        <w:ind w:left="5760" w:hanging="360"/>
      </w:pPr>
      <w:rPr>
        <w:rFonts w:ascii="Courier New" w:hAnsi="Courier New" w:hint="default"/>
      </w:rPr>
    </w:lvl>
    <w:lvl w:ilvl="8" w:tplc="24BA55E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5"/>
  </w:num>
  <w:num w:numId="4">
    <w:abstractNumId w:val="11"/>
  </w:num>
  <w:num w:numId="5">
    <w:abstractNumId w:val="45"/>
  </w:num>
  <w:num w:numId="6">
    <w:abstractNumId w:val="25"/>
  </w:num>
  <w:num w:numId="7">
    <w:abstractNumId w:val="34"/>
  </w:num>
  <w:num w:numId="8">
    <w:abstractNumId w:val="7"/>
  </w:num>
  <w:num w:numId="9">
    <w:abstractNumId w:val="32"/>
  </w:num>
  <w:num w:numId="10">
    <w:abstractNumId w:val="17"/>
  </w:num>
  <w:num w:numId="11">
    <w:abstractNumId w:val="3"/>
  </w:num>
  <w:num w:numId="12">
    <w:abstractNumId w:val="23"/>
  </w:num>
  <w:num w:numId="13">
    <w:abstractNumId w:val="2"/>
  </w:num>
  <w:num w:numId="14">
    <w:abstractNumId w:val="8"/>
  </w:num>
  <w:num w:numId="15">
    <w:abstractNumId w:val="35"/>
  </w:num>
  <w:num w:numId="16">
    <w:abstractNumId w:val="33"/>
  </w:num>
  <w:num w:numId="17">
    <w:abstractNumId w:val="18"/>
  </w:num>
  <w:num w:numId="18">
    <w:abstractNumId w:val="1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6"/>
  </w:num>
  <w:num w:numId="24">
    <w:abstractNumId w:val="31"/>
  </w:num>
  <w:num w:numId="25">
    <w:abstractNumId w:val="39"/>
  </w:num>
  <w:num w:numId="26">
    <w:abstractNumId w:val="1"/>
  </w:num>
  <w:num w:numId="27">
    <w:abstractNumId w:val="1"/>
  </w:num>
  <w:num w:numId="28">
    <w:abstractNumId w:val="29"/>
  </w:num>
  <w:num w:numId="29">
    <w:abstractNumId w:val="30"/>
  </w:num>
  <w:num w:numId="30">
    <w:abstractNumId w:val="37"/>
  </w:num>
  <w:num w:numId="31">
    <w:abstractNumId w:val="40"/>
  </w:num>
  <w:num w:numId="32">
    <w:abstractNumId w:val="27"/>
  </w:num>
  <w:num w:numId="33">
    <w:abstractNumId w:val="9"/>
  </w:num>
  <w:num w:numId="34">
    <w:abstractNumId w:val="6"/>
  </w:num>
  <w:num w:numId="35">
    <w:abstractNumId w:val="47"/>
  </w:num>
  <w:num w:numId="36">
    <w:abstractNumId w:val="21"/>
  </w:num>
  <w:num w:numId="37">
    <w:abstractNumId w:val="36"/>
  </w:num>
  <w:num w:numId="38">
    <w:abstractNumId w:val="43"/>
  </w:num>
  <w:num w:numId="39">
    <w:abstractNumId w:val="12"/>
  </w:num>
  <w:num w:numId="40">
    <w:abstractNumId w:val="28"/>
  </w:num>
  <w:num w:numId="41">
    <w:abstractNumId w:val="22"/>
    <w:lvlOverride w:ilvl="0"/>
    <w:lvlOverride w:ilvl="1"/>
    <w:lvlOverride w:ilvl="2">
      <w:startOverride w:val="1"/>
    </w:lvlOverride>
    <w:lvlOverride w:ilvl="3">
      <w:startOverride w:val="1"/>
    </w:lvlOverride>
    <w:lvlOverride w:ilvl="4"/>
    <w:lvlOverride w:ilvl="5"/>
    <w:lvlOverride w:ilvl="6"/>
    <w:lvlOverride w:ilvl="7"/>
    <w:lvlOverride w:ilvl="8"/>
  </w:num>
  <w:num w:numId="42">
    <w:abstractNumId w:val="44"/>
  </w:num>
  <w:num w:numId="43">
    <w:abstractNumId w:val="0"/>
  </w:num>
  <w:num w:numId="44">
    <w:abstractNumId w:val="13"/>
  </w:num>
  <w:num w:numId="45">
    <w:abstractNumId w:val="24"/>
  </w:num>
  <w:num w:numId="46">
    <w:abstractNumId w:val="38"/>
  </w:num>
  <w:num w:numId="47">
    <w:abstractNumId w:val="14"/>
  </w:num>
  <w:num w:numId="48">
    <w:abstractNumId w:val="41"/>
  </w:num>
  <w:num w:numId="49">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42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AED"/>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3D5C"/>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1A6A"/>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6D74"/>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35A"/>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1FE"/>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41C"/>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2E89"/>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0C3"/>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3B64"/>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AE2"/>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17C"/>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A3D"/>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98A"/>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231"/>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053"/>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56"/>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5F85"/>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3CF"/>
    <w:rsid w:val="00E269DA"/>
    <w:rsid w:val="00E26C0B"/>
    <w:rsid w:val="00E2766A"/>
    <w:rsid w:val="00E27822"/>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1C3D"/>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531"/>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4"/>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4"/>
      </w:numPr>
      <w:spacing w:before="120"/>
      <w:outlineLvl w:val="1"/>
    </w:pPr>
    <w:rPr>
      <w:b/>
      <w:bCs/>
      <w:sz w:val="24"/>
    </w:rPr>
  </w:style>
  <w:style w:type="paragraph" w:styleId="Heading3">
    <w:name w:val="heading 3"/>
    <w:basedOn w:val="Normal"/>
    <w:next w:val="Normal"/>
    <w:qFormat/>
    <w:rsid w:val="00E940D6"/>
    <w:pPr>
      <w:keepNext/>
      <w:numPr>
        <w:ilvl w:val="2"/>
        <w:numId w:val="4"/>
      </w:numPr>
      <w:spacing w:before="120"/>
      <w:outlineLvl w:val="2"/>
    </w:pPr>
    <w:rPr>
      <w:b/>
    </w:rPr>
  </w:style>
  <w:style w:type="paragraph" w:styleId="Heading4">
    <w:name w:val="heading 4"/>
    <w:basedOn w:val="Normal"/>
    <w:next w:val="Normal"/>
    <w:qFormat/>
    <w:rsid w:val="00E940D6"/>
    <w:pPr>
      <w:keepNext/>
      <w:numPr>
        <w:ilvl w:val="3"/>
        <w:numId w:val="4"/>
      </w:numPr>
      <w:spacing w:before="120"/>
      <w:outlineLvl w:val="3"/>
    </w:pPr>
    <w:rPr>
      <w:b/>
      <w:bCs/>
      <w:szCs w:val="28"/>
    </w:rPr>
  </w:style>
  <w:style w:type="paragraph" w:styleId="Heading5">
    <w:name w:val="heading 5"/>
    <w:basedOn w:val="Normal"/>
    <w:next w:val="Normal"/>
    <w:qFormat/>
    <w:rsid w:val="00E940D6"/>
    <w:pPr>
      <w:keepNext/>
      <w:numPr>
        <w:ilvl w:val="4"/>
        <w:numId w:val="4"/>
      </w:numPr>
      <w:spacing w:before="120"/>
      <w:outlineLvl w:val="4"/>
    </w:pPr>
    <w:rPr>
      <w:b/>
      <w:bCs/>
      <w:i/>
      <w:iCs/>
      <w:szCs w:val="26"/>
    </w:rPr>
  </w:style>
  <w:style w:type="paragraph" w:styleId="Heading6">
    <w:name w:val="heading 6"/>
    <w:basedOn w:val="Normal"/>
    <w:next w:val="Normal"/>
    <w:qFormat/>
    <w:rsid w:val="00E940D6"/>
    <w:pPr>
      <w:numPr>
        <w:ilvl w:val="5"/>
        <w:numId w:val="4"/>
      </w:numPr>
      <w:spacing w:before="240" w:after="60"/>
      <w:outlineLvl w:val="5"/>
    </w:pPr>
    <w:rPr>
      <w:b/>
      <w:bCs/>
    </w:rPr>
  </w:style>
  <w:style w:type="paragraph" w:styleId="Heading7">
    <w:name w:val="heading 7"/>
    <w:basedOn w:val="Normal"/>
    <w:next w:val="Normal"/>
    <w:qFormat/>
    <w:rsid w:val="00E940D6"/>
    <w:pPr>
      <w:numPr>
        <w:ilvl w:val="6"/>
        <w:numId w:val="4"/>
      </w:numPr>
      <w:spacing w:before="240" w:after="60"/>
      <w:outlineLvl w:val="6"/>
    </w:pPr>
    <w:rPr>
      <w:sz w:val="24"/>
      <w:szCs w:val="24"/>
    </w:rPr>
  </w:style>
  <w:style w:type="paragraph" w:styleId="Heading8">
    <w:name w:val="heading 8"/>
    <w:basedOn w:val="Normal"/>
    <w:next w:val="Normal"/>
    <w:qFormat/>
    <w:rsid w:val="00E940D6"/>
    <w:pPr>
      <w:numPr>
        <w:ilvl w:val="7"/>
        <w:numId w:val="4"/>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6"/>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ltair-semi.com/wp-content/uploads/2017/02/Coverage-Analysis-of-LTE-CAT-M1-White-Paper.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FE27B-0E77-4C68-9188-3734D4624C92}">
  <ds:schemaRefs>
    <ds:schemaRef ds:uri="http://schemas.openxmlformats.org/officeDocument/2006/bibliography"/>
  </ds:schemaRefs>
</ds:datastoreItem>
</file>

<file path=customXml/itemProps5.xml><?xml version="1.0" encoding="utf-8"?>
<ds:datastoreItem xmlns:ds="http://schemas.openxmlformats.org/officeDocument/2006/customXml" ds:itemID="{507F7896-FB45-4B80-B4DE-836C2625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6</Pages>
  <Words>1803</Words>
  <Characters>10282</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357</cp:revision>
  <cp:lastPrinted>2016-05-14T13:14:00Z</cp:lastPrinted>
  <dcterms:created xsi:type="dcterms:W3CDTF">2020-10-21T07:57:00Z</dcterms:created>
  <dcterms:modified xsi:type="dcterms:W3CDTF">2021-01-19T06:00:00Z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